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9238" w14:textId="77777777" w:rsidR="0039673B" w:rsidRDefault="0039673B">
      <w:pPr>
        <w:rPr>
          <w:b/>
          <w:bCs/>
        </w:rPr>
      </w:pPr>
      <w:bookmarkStart w:id="0" w:name="_Hlk149990667"/>
      <w:bookmarkEnd w:id="0"/>
      <w:r>
        <w:rPr>
          <w:b/>
          <w:bCs/>
          <w:noProof/>
        </w:rPr>
        <w:drawing>
          <wp:inline distT="0" distB="0" distL="0" distR="0" wp14:anchorId="2AB34AFA" wp14:editId="2D14D0DF">
            <wp:extent cx="5953125" cy="1190625"/>
            <wp:effectExtent l="0" t="0" r="9525" b="9525"/>
            <wp:docPr id="895507021"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07021" name="Picture 1" descr="A white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53125" cy="1190625"/>
                    </a:xfrm>
                    <a:prstGeom prst="rect">
                      <a:avLst/>
                    </a:prstGeom>
                  </pic:spPr>
                </pic:pic>
              </a:graphicData>
            </a:graphic>
          </wp:inline>
        </w:drawing>
      </w:r>
    </w:p>
    <w:p w14:paraId="2529BA35" w14:textId="77777777" w:rsidR="0039673B" w:rsidRDefault="0039673B">
      <w:pPr>
        <w:rPr>
          <w:b/>
          <w:bCs/>
        </w:rPr>
      </w:pPr>
    </w:p>
    <w:p w14:paraId="4CD94F58" w14:textId="318550E5" w:rsidR="0039673B" w:rsidRPr="0039673B" w:rsidRDefault="0039673B" w:rsidP="0039673B">
      <w:pPr>
        <w:jc w:val="center"/>
        <w:rPr>
          <w:b/>
          <w:bCs/>
          <w:sz w:val="32"/>
          <w:szCs w:val="32"/>
        </w:rPr>
      </w:pPr>
      <w:r w:rsidRPr="0039673B">
        <w:rPr>
          <w:b/>
          <w:bCs/>
          <w:sz w:val="32"/>
          <w:szCs w:val="32"/>
        </w:rPr>
        <w:t xml:space="preserve">SALON DU MEUBLE BRUXELLES 2023 – CONFERENCE DE PRESSE </w:t>
      </w:r>
    </w:p>
    <w:p w14:paraId="47C5BB1F" w14:textId="77777777" w:rsidR="0039673B" w:rsidRPr="0039673B" w:rsidRDefault="0039673B" w:rsidP="0039673B">
      <w:pPr>
        <w:rPr>
          <w:b/>
          <w:bCs/>
        </w:rPr>
      </w:pPr>
    </w:p>
    <w:p w14:paraId="07A875D2" w14:textId="6B32B82A" w:rsidR="0039673B" w:rsidRPr="0039673B" w:rsidRDefault="0039673B" w:rsidP="0039673B">
      <w:pPr>
        <w:pStyle w:val="ListParagraph"/>
        <w:numPr>
          <w:ilvl w:val="0"/>
          <w:numId w:val="5"/>
        </w:numPr>
        <w:spacing w:after="160" w:line="259" w:lineRule="auto"/>
        <w:rPr>
          <w:b/>
          <w:bCs/>
        </w:rPr>
      </w:pPr>
      <w:r>
        <w:rPr>
          <w:b/>
          <w:bCs/>
        </w:rPr>
        <w:t>Mot de bienvenue</w:t>
      </w:r>
      <w:r w:rsidRPr="0039673B">
        <w:rPr>
          <w:b/>
          <w:bCs/>
        </w:rPr>
        <w:t xml:space="preserve"> par Glenn De Maeseneer, directeur Salon du Meuble </w:t>
      </w:r>
      <w:r>
        <w:rPr>
          <w:b/>
          <w:bCs/>
        </w:rPr>
        <w:t>Bruxelles</w:t>
      </w:r>
    </w:p>
    <w:p w14:paraId="64BCBFCB" w14:textId="32233716" w:rsidR="0039673B" w:rsidRDefault="0039673B" w:rsidP="0039673B">
      <w:pPr>
        <w:pStyle w:val="ListParagraph"/>
        <w:numPr>
          <w:ilvl w:val="0"/>
          <w:numId w:val="5"/>
        </w:numPr>
        <w:spacing w:after="160" w:line="259" w:lineRule="auto"/>
        <w:rPr>
          <w:b/>
          <w:bCs/>
        </w:rPr>
      </w:pPr>
      <w:r w:rsidRPr="0039673B">
        <w:rPr>
          <w:b/>
          <w:bCs/>
        </w:rPr>
        <w:t xml:space="preserve">Note de conjoncture 2023, </w:t>
      </w:r>
      <w:r w:rsidR="000F2787" w:rsidRPr="0039673B">
        <w:rPr>
          <w:b/>
          <w:bCs/>
        </w:rPr>
        <w:t>présentation</w:t>
      </w:r>
      <w:r w:rsidRPr="0039673B">
        <w:rPr>
          <w:b/>
          <w:bCs/>
        </w:rPr>
        <w:t xml:space="preserve"> par Filip De Jaeger, COO </w:t>
      </w:r>
      <w:proofErr w:type="spellStart"/>
      <w:r w:rsidRPr="0039673B">
        <w:rPr>
          <w:b/>
          <w:bCs/>
        </w:rPr>
        <w:t>Fedustria</w:t>
      </w:r>
      <w:proofErr w:type="spellEnd"/>
    </w:p>
    <w:p w14:paraId="1902D45D" w14:textId="77777777" w:rsidR="0039673B" w:rsidRPr="0039673B" w:rsidRDefault="0039673B" w:rsidP="0039673B">
      <w:pPr>
        <w:pStyle w:val="ListParagraph"/>
        <w:spacing w:after="160" w:line="259" w:lineRule="auto"/>
        <w:rPr>
          <w:b/>
          <w:bCs/>
        </w:rPr>
      </w:pPr>
    </w:p>
    <w:p w14:paraId="1B017113" w14:textId="4A97BE50" w:rsidR="0039673B" w:rsidRPr="00DB20F6" w:rsidRDefault="0039673B" w:rsidP="0039673B">
      <w:pPr>
        <w:pStyle w:val="Heading7"/>
        <w:pBdr>
          <w:top w:val="single" w:sz="4" w:space="1" w:color="auto"/>
          <w:left w:val="single" w:sz="4" w:space="1" w:color="auto"/>
          <w:bottom w:val="single" w:sz="4" w:space="1" w:color="auto"/>
          <w:right w:val="single" w:sz="4" w:space="1" w:color="auto"/>
        </w:pBdr>
        <w:jc w:val="center"/>
        <w:rPr>
          <w:rFonts w:asciiTheme="minorHAnsi" w:hAnsiTheme="minorHAnsi" w:cstheme="minorHAnsi"/>
          <w:b/>
          <w:i w:val="0"/>
          <w:color w:val="auto"/>
          <w:sz w:val="36"/>
          <w:szCs w:val="36"/>
        </w:rPr>
      </w:pPr>
      <w:r w:rsidRPr="00DB20F6">
        <w:rPr>
          <w:rFonts w:asciiTheme="minorHAnsi" w:hAnsiTheme="minorHAnsi"/>
          <w:b/>
          <w:i w:val="0"/>
          <w:color w:val="auto"/>
          <w:sz w:val="36"/>
        </w:rPr>
        <w:t xml:space="preserve">L’industrie belge de l’ameublement en 2023 : </w:t>
      </w:r>
    </w:p>
    <w:p w14:paraId="215BB135" w14:textId="77777777" w:rsidR="0039673B" w:rsidRPr="00DB20F6" w:rsidRDefault="0039673B" w:rsidP="0039673B">
      <w:pPr>
        <w:pBdr>
          <w:top w:val="single" w:sz="4" w:space="1" w:color="auto"/>
          <w:left w:val="single" w:sz="4" w:space="1" w:color="auto"/>
          <w:bottom w:val="single" w:sz="4" w:space="1" w:color="auto"/>
          <w:right w:val="single" w:sz="4" w:space="1" w:color="auto"/>
        </w:pBdr>
        <w:jc w:val="center"/>
        <w:rPr>
          <w:rFonts w:cstheme="minorHAnsi"/>
        </w:rPr>
      </w:pPr>
      <w:r w:rsidRPr="00DB20F6">
        <w:rPr>
          <w:b/>
          <w:sz w:val="36"/>
        </w:rPr>
        <w:t>des conditions de marché difficiles</w:t>
      </w:r>
    </w:p>
    <w:p w14:paraId="55AA06C9" w14:textId="77777777" w:rsidR="0039673B" w:rsidRPr="00DB20F6" w:rsidRDefault="0039673B" w:rsidP="0039673B">
      <w:pPr>
        <w:rPr>
          <w:rFonts w:cstheme="minorHAnsi"/>
        </w:rPr>
      </w:pPr>
    </w:p>
    <w:p w14:paraId="76D32043" w14:textId="77777777" w:rsidR="0039673B" w:rsidRPr="00DB20F6" w:rsidRDefault="0039673B" w:rsidP="0039673B">
      <w:pPr>
        <w:rPr>
          <w:rFonts w:cstheme="minorHAnsi"/>
          <w:b/>
          <w:u w:val="single"/>
        </w:rPr>
      </w:pPr>
      <w:r w:rsidRPr="00DB20F6">
        <w:rPr>
          <w:b/>
          <w:u w:val="single"/>
        </w:rPr>
        <w:t>L’industrie belge de l’ameublement</w:t>
      </w:r>
    </w:p>
    <w:p w14:paraId="1C89A2FA" w14:textId="77777777" w:rsidR="0039673B" w:rsidRPr="00DB20F6" w:rsidRDefault="0039673B" w:rsidP="0039673B">
      <w:pPr>
        <w:rPr>
          <w:rFonts w:cstheme="minorHAnsi"/>
        </w:rPr>
      </w:pPr>
    </w:p>
    <w:p w14:paraId="673E1561" w14:textId="77777777" w:rsidR="0039673B" w:rsidRPr="00DB20F6" w:rsidRDefault="0039673B" w:rsidP="0039673B">
      <w:pPr>
        <w:pBdr>
          <w:top w:val="single" w:sz="4" w:space="1" w:color="auto"/>
          <w:left w:val="single" w:sz="4" w:space="1" w:color="auto"/>
          <w:bottom w:val="single" w:sz="4" w:space="1" w:color="auto"/>
          <w:right w:val="single" w:sz="4" w:space="1" w:color="auto"/>
        </w:pBdr>
        <w:rPr>
          <w:b/>
          <w:bCs/>
        </w:rPr>
      </w:pPr>
      <w:r w:rsidRPr="00DB20F6">
        <w:rPr>
          <w:b/>
        </w:rPr>
        <w:t>Chiffres clés (2022)</w:t>
      </w:r>
    </w:p>
    <w:p w14:paraId="161C579F" w14:textId="77777777" w:rsidR="0039673B" w:rsidRPr="00DB20F6" w:rsidRDefault="0039673B" w:rsidP="0039673B">
      <w:pPr>
        <w:pStyle w:val="ListParagraph"/>
        <w:numPr>
          <w:ilvl w:val="0"/>
          <w:numId w:val="20"/>
        </w:numPr>
        <w:pBdr>
          <w:top w:val="single" w:sz="4" w:space="1" w:color="auto"/>
          <w:left w:val="single" w:sz="4" w:space="1" w:color="auto"/>
          <w:bottom w:val="single" w:sz="4" w:space="1" w:color="auto"/>
          <w:right w:val="single" w:sz="4" w:space="1" w:color="auto"/>
        </w:pBdr>
        <w:spacing w:after="0" w:line="240" w:lineRule="auto"/>
        <w:ind w:left="284" w:hanging="284"/>
        <w:rPr>
          <w:b/>
          <w:bCs/>
        </w:rPr>
      </w:pPr>
      <w:r w:rsidRPr="00DB20F6">
        <w:rPr>
          <w:b/>
        </w:rPr>
        <w:t>722 entreprises</w:t>
      </w:r>
    </w:p>
    <w:p w14:paraId="585A1F50" w14:textId="77777777" w:rsidR="0039673B" w:rsidRPr="00DB20F6" w:rsidRDefault="0039673B" w:rsidP="0039673B">
      <w:pPr>
        <w:pStyle w:val="ListParagraph"/>
        <w:numPr>
          <w:ilvl w:val="0"/>
          <w:numId w:val="20"/>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DB20F6">
        <w:rPr>
          <w:b/>
        </w:rPr>
        <w:t>9.763 travailleurs</w:t>
      </w:r>
    </w:p>
    <w:p w14:paraId="147034E1" w14:textId="77777777" w:rsidR="0039673B" w:rsidRPr="00DB20F6" w:rsidRDefault="0039673B" w:rsidP="0039673B">
      <w:pPr>
        <w:pStyle w:val="ListParagraph"/>
        <w:numPr>
          <w:ilvl w:val="0"/>
          <w:numId w:val="20"/>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DB20F6">
        <w:rPr>
          <w:b/>
        </w:rPr>
        <w:t>Chiffre d'affaires : 2,3 milliards d'euros</w:t>
      </w:r>
    </w:p>
    <w:p w14:paraId="2FA95609" w14:textId="77777777" w:rsidR="0039673B" w:rsidRPr="00DB20F6" w:rsidRDefault="0039673B" w:rsidP="0039673B">
      <w:pPr>
        <w:pStyle w:val="ListParagraph"/>
        <w:numPr>
          <w:ilvl w:val="0"/>
          <w:numId w:val="20"/>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DB20F6">
        <w:rPr>
          <w:b/>
        </w:rPr>
        <w:t>Evolution de l'activité en volume : -14 %</w:t>
      </w:r>
    </w:p>
    <w:p w14:paraId="0E5656E3" w14:textId="77777777" w:rsidR="0039673B" w:rsidRPr="00DB20F6" w:rsidRDefault="0039673B" w:rsidP="0039673B">
      <w:pPr>
        <w:pStyle w:val="ListParagraph"/>
        <w:numPr>
          <w:ilvl w:val="0"/>
          <w:numId w:val="20"/>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DB20F6">
        <w:rPr>
          <w:b/>
        </w:rPr>
        <w:t>Part des exportations : 57 %</w:t>
      </w:r>
    </w:p>
    <w:p w14:paraId="214FFE1C" w14:textId="77777777" w:rsidR="0039673B" w:rsidRPr="00DB20F6" w:rsidRDefault="0039673B" w:rsidP="0039673B">
      <w:pPr>
        <w:pStyle w:val="ListParagraph"/>
        <w:numPr>
          <w:ilvl w:val="0"/>
          <w:numId w:val="20"/>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b/>
        </w:rPr>
      </w:pPr>
      <w:r w:rsidRPr="00DB20F6">
        <w:rPr>
          <w:b/>
        </w:rPr>
        <w:t>Part dans le chiffre d'affaires total de l'industrie belge du bois et de l'ameublement : 33 %</w:t>
      </w:r>
    </w:p>
    <w:p w14:paraId="14D44221" w14:textId="77777777" w:rsidR="0039673B" w:rsidRPr="00DB20F6" w:rsidRDefault="0039673B" w:rsidP="0039673B">
      <w:pPr>
        <w:pBdr>
          <w:top w:val="single" w:sz="4" w:space="1" w:color="auto"/>
          <w:left w:val="single" w:sz="4" w:space="1" w:color="auto"/>
          <w:bottom w:val="single" w:sz="4" w:space="1" w:color="auto"/>
          <w:right w:val="single" w:sz="4" w:space="1" w:color="auto"/>
        </w:pBdr>
        <w:rPr>
          <w:rFonts w:cstheme="minorHAnsi"/>
          <w:sz w:val="10"/>
          <w:szCs w:val="10"/>
        </w:rPr>
      </w:pPr>
    </w:p>
    <w:p w14:paraId="2DF9AA2E" w14:textId="77777777" w:rsidR="0039673B" w:rsidRPr="00DB20F6" w:rsidRDefault="0039673B" w:rsidP="0039673B">
      <w:pPr>
        <w:tabs>
          <w:tab w:val="left" w:pos="-828"/>
          <w:tab w:val="left" w:pos="4253"/>
        </w:tabs>
        <w:suppressAutoHyphens/>
        <w:jc w:val="both"/>
        <w:rPr>
          <w:rFonts w:cstheme="minorHAnsi"/>
          <w:spacing w:val="-3"/>
        </w:rPr>
      </w:pPr>
    </w:p>
    <w:p w14:paraId="5E027768" w14:textId="77777777" w:rsidR="0039673B" w:rsidRPr="00DB20F6" w:rsidRDefault="0039673B" w:rsidP="0039673B">
      <w:pPr>
        <w:tabs>
          <w:tab w:val="left" w:pos="-828"/>
          <w:tab w:val="left" w:pos="4253"/>
        </w:tabs>
        <w:suppressAutoHyphens/>
        <w:jc w:val="both"/>
        <w:rPr>
          <w:rFonts w:cstheme="minorHAnsi"/>
          <w:b/>
          <w:spacing w:val="-3"/>
          <w:u w:val="single"/>
        </w:rPr>
      </w:pPr>
      <w:r w:rsidRPr="00DB20F6">
        <w:rPr>
          <w:b/>
          <w:spacing w:val="-3"/>
          <w:u w:val="single"/>
        </w:rPr>
        <w:t>Synthèse des évolutions au cours du premier semestre 2023</w:t>
      </w:r>
    </w:p>
    <w:p w14:paraId="1FABC2AD" w14:textId="77777777" w:rsidR="0039673B" w:rsidRPr="003A7539" w:rsidRDefault="0039673B" w:rsidP="0039673B">
      <w:pPr>
        <w:tabs>
          <w:tab w:val="left" w:pos="-828"/>
          <w:tab w:val="left" w:pos="4253"/>
        </w:tabs>
        <w:suppressAutoHyphens/>
        <w:jc w:val="both"/>
        <w:rPr>
          <w:rFonts w:cstheme="minorHAnsi"/>
          <w:spacing w:val="-3"/>
          <w:sz w:val="18"/>
          <w:szCs w:val="18"/>
        </w:rPr>
      </w:pPr>
    </w:p>
    <w:p w14:paraId="1B581DEC" w14:textId="77777777" w:rsidR="0039673B" w:rsidRPr="00DB20F6" w:rsidRDefault="0039673B" w:rsidP="0039673B">
      <w:pPr>
        <w:pStyle w:val="ListParagraph"/>
        <w:numPr>
          <w:ilvl w:val="0"/>
          <w:numId w:val="21"/>
        </w:numPr>
        <w:tabs>
          <w:tab w:val="left" w:pos="4253"/>
        </w:tabs>
        <w:suppressAutoHyphens/>
        <w:spacing w:after="0" w:line="240" w:lineRule="auto"/>
        <w:ind w:left="284" w:hanging="284"/>
        <w:jc w:val="both"/>
        <w:rPr>
          <w:spacing w:val="-3"/>
        </w:rPr>
      </w:pPr>
      <w:r w:rsidRPr="00DB20F6">
        <w:rPr>
          <w:spacing w:val="-3"/>
        </w:rPr>
        <w:t xml:space="preserve">Chiffre d'affaires : 1.106 millions d'euros, -5,6 % comparativement au premier semestre 2022. Baisse réelle du volume de 11,8 % par suite de l'augmentation des prix à la production de 6,2 % </w:t>
      </w:r>
    </w:p>
    <w:p w14:paraId="1E80AD9E" w14:textId="77777777" w:rsidR="0039673B" w:rsidRPr="00DB20F6" w:rsidRDefault="0039673B" w:rsidP="0039673B">
      <w:pPr>
        <w:pStyle w:val="ListParagraph"/>
        <w:numPr>
          <w:ilvl w:val="0"/>
          <w:numId w:val="21"/>
        </w:numPr>
        <w:tabs>
          <w:tab w:val="left" w:pos="-828"/>
          <w:tab w:val="left" w:pos="4253"/>
        </w:tabs>
        <w:suppressAutoHyphens/>
        <w:spacing w:after="0" w:line="240" w:lineRule="auto"/>
        <w:ind w:left="284" w:hanging="284"/>
        <w:jc w:val="both"/>
        <w:rPr>
          <w:rFonts w:cstheme="minorHAnsi"/>
          <w:spacing w:val="-3"/>
        </w:rPr>
      </w:pPr>
      <w:r w:rsidRPr="00DB20F6">
        <w:rPr>
          <w:spacing w:val="-3"/>
        </w:rPr>
        <w:t>Investissements : 48,2 millions d'euros (+30,6 %)</w:t>
      </w:r>
    </w:p>
    <w:p w14:paraId="499159CB" w14:textId="77777777" w:rsidR="0039673B" w:rsidRPr="00DB20F6" w:rsidRDefault="0039673B" w:rsidP="0039673B">
      <w:pPr>
        <w:pStyle w:val="ListParagraph"/>
        <w:numPr>
          <w:ilvl w:val="0"/>
          <w:numId w:val="21"/>
        </w:numPr>
        <w:tabs>
          <w:tab w:val="left" w:pos="-828"/>
          <w:tab w:val="left" w:pos="4253"/>
        </w:tabs>
        <w:suppressAutoHyphens/>
        <w:spacing w:after="0" w:line="240" w:lineRule="auto"/>
        <w:ind w:left="284" w:hanging="284"/>
        <w:jc w:val="both"/>
        <w:rPr>
          <w:rFonts w:cstheme="minorHAnsi"/>
          <w:spacing w:val="-3"/>
        </w:rPr>
      </w:pPr>
      <w:r w:rsidRPr="00DB20F6">
        <w:rPr>
          <w:spacing w:val="-3"/>
        </w:rPr>
        <w:t xml:space="preserve">Taux d'occupation de la capacité de production : 74,2 % </w:t>
      </w:r>
    </w:p>
    <w:p w14:paraId="682EA0F4" w14:textId="77777777" w:rsidR="0039673B" w:rsidRPr="00DB20F6" w:rsidRDefault="0039673B" w:rsidP="0039673B">
      <w:pPr>
        <w:pStyle w:val="ListParagraph"/>
        <w:numPr>
          <w:ilvl w:val="0"/>
          <w:numId w:val="21"/>
        </w:numPr>
        <w:tabs>
          <w:tab w:val="left" w:pos="4253"/>
        </w:tabs>
        <w:suppressAutoHyphens/>
        <w:spacing w:after="0" w:line="240" w:lineRule="auto"/>
        <w:ind w:left="284" w:hanging="284"/>
        <w:jc w:val="both"/>
      </w:pPr>
      <w:r w:rsidRPr="00DB20F6">
        <w:rPr>
          <w:spacing w:val="-3"/>
        </w:rPr>
        <w:t>Exportations : -12,2 % par rapport à la même période en 2022. La France, les Pays-Bas et l'Allemagne affichent un fort ralentissement mais demeurent les principaux débouchés</w:t>
      </w:r>
    </w:p>
    <w:p w14:paraId="5FE1932B" w14:textId="77777777" w:rsidR="0039673B" w:rsidRPr="00DB20F6" w:rsidRDefault="0039673B" w:rsidP="0039673B">
      <w:pPr>
        <w:pStyle w:val="ListParagraph"/>
        <w:numPr>
          <w:ilvl w:val="0"/>
          <w:numId w:val="21"/>
        </w:numPr>
        <w:tabs>
          <w:tab w:val="left" w:pos="4253"/>
        </w:tabs>
        <w:suppressAutoHyphens/>
        <w:spacing w:after="0" w:line="240" w:lineRule="auto"/>
        <w:ind w:left="284" w:hanging="284"/>
        <w:jc w:val="both"/>
      </w:pPr>
      <w:r w:rsidRPr="00DB20F6">
        <w:rPr>
          <w:spacing w:val="-3"/>
        </w:rPr>
        <w:t>Importations : -17,4 % par rapport à la même période en 2022</w:t>
      </w:r>
    </w:p>
    <w:p w14:paraId="344C0B48" w14:textId="77777777" w:rsidR="003A7539" w:rsidRDefault="003A7539" w:rsidP="0039673B">
      <w:pPr>
        <w:jc w:val="both"/>
        <w:rPr>
          <w:b/>
          <w:u w:val="single"/>
        </w:rPr>
      </w:pPr>
    </w:p>
    <w:p w14:paraId="4FBA5F99" w14:textId="2603757F" w:rsidR="0039673B" w:rsidRPr="003A7539" w:rsidRDefault="0039673B" w:rsidP="0039673B">
      <w:pPr>
        <w:jc w:val="both"/>
        <w:rPr>
          <w:rFonts w:cstheme="minorHAnsi"/>
          <w:b/>
          <w:bCs/>
          <w:u w:val="single"/>
        </w:rPr>
      </w:pPr>
      <w:r w:rsidRPr="00DB20F6">
        <w:rPr>
          <w:b/>
          <w:u w:val="single"/>
        </w:rPr>
        <w:lastRenderedPageBreak/>
        <w:t>Contexte général</w:t>
      </w:r>
    </w:p>
    <w:p w14:paraId="5A1237EA" w14:textId="64599F79" w:rsidR="0039673B" w:rsidRPr="003A7539" w:rsidRDefault="0039673B" w:rsidP="0039673B">
      <w:pPr>
        <w:jc w:val="both"/>
      </w:pPr>
      <w:r w:rsidRPr="00DB20F6">
        <w:t>Depuis le deuxième semestre de 2022, l'industrie belge de l'ameublement est confrontée à une baisse de la demande, tant sur le marché intérieur que sur les marchés étrangers. La forte hausse de l'inflation, les coûts plus élevés de l'énergie et des matières premières, et un avenir incertain en raison des développements géopolitiques ont inquiété le consommateur et entraîné une baisse de la confiance des consommateurs. La « tempête parfaite » dont nous parlions l'année dernière s'est transformée en un véritable ouragan en 2023.</w:t>
      </w:r>
    </w:p>
    <w:p w14:paraId="4B67B0F2" w14:textId="5D47C863" w:rsidR="0039673B" w:rsidRPr="003A7539" w:rsidRDefault="0039673B" w:rsidP="0039673B">
      <w:pPr>
        <w:jc w:val="both"/>
      </w:pPr>
      <w:r w:rsidRPr="00DB20F6">
        <w:t xml:space="preserve">De plus, de nombreux consommateurs avaient choisi après la pandémie du coronavirus de consacrer (à nouveau) leur budget familial disponible aux loisirs (voyages, </w:t>
      </w:r>
      <w:proofErr w:type="spellStart"/>
      <w:r w:rsidRPr="00DB20F6">
        <w:t>horeca</w:t>
      </w:r>
      <w:proofErr w:type="spellEnd"/>
      <w:r w:rsidRPr="00DB20F6">
        <w:t>) et non plus à l'aménagement de leur habitation, qui avait fait l'objet de toutes les attentions pendant la crise du coronavirus, ce qui avait alors grandement soutenu le secteur.</w:t>
      </w:r>
    </w:p>
    <w:p w14:paraId="63FC073C" w14:textId="77777777" w:rsidR="0039673B" w:rsidRPr="00DB20F6" w:rsidRDefault="0039673B" w:rsidP="0039673B">
      <w:pPr>
        <w:jc w:val="both"/>
      </w:pPr>
      <w:r w:rsidRPr="00DB20F6">
        <w:t>En dépit des mesures du gouvernement visant à soutenir le consommateur via la prime énergie, conjointement avec le principe courant en Belgique d'indexation automatique des salaires pour préserver le pouvoir d'achat, entraînant une augmentation salariale de 16 % en 2021/2022, la situation n'a connu aucun revirement, bien au contraire. La demande est restée basse, même dans la construction, avec une situation comparable dans les pays voisins ou dans les marchés d'exportation. Le secteur de l'ameublement connaît donc des turbulences et les premières conséquences négatives se sont déjà manifestées avec des faillites de producteurs et des fermetures de commerces. Tous les regards se tournent désormais vers 2024 qui, espérons-le, connaîtra une relance.</w:t>
      </w:r>
    </w:p>
    <w:p w14:paraId="56AE6209" w14:textId="77777777" w:rsidR="0039673B" w:rsidRPr="00DB20F6" w:rsidRDefault="0039673B" w:rsidP="0039673B">
      <w:pPr>
        <w:pStyle w:val="BodyText"/>
        <w:rPr>
          <w:rFonts w:asciiTheme="minorHAnsi" w:hAnsiTheme="minorHAnsi"/>
          <w:b/>
          <w:u w:val="single"/>
        </w:rPr>
      </w:pPr>
    </w:p>
    <w:p w14:paraId="7AF3D9EB" w14:textId="77777777" w:rsidR="0039673B" w:rsidRPr="00DB20F6" w:rsidRDefault="0039673B" w:rsidP="0039673B">
      <w:pPr>
        <w:pStyle w:val="BodyText"/>
        <w:rPr>
          <w:rFonts w:asciiTheme="minorHAnsi" w:hAnsiTheme="minorHAnsi" w:cstheme="minorBidi"/>
          <w:b/>
          <w:bCs/>
          <w:u w:val="single"/>
        </w:rPr>
      </w:pPr>
      <w:r w:rsidRPr="00DB20F6">
        <w:rPr>
          <w:rFonts w:asciiTheme="minorHAnsi" w:hAnsiTheme="minorHAnsi"/>
          <w:b/>
          <w:u w:val="single"/>
        </w:rPr>
        <w:t>Premier semestre 2023 : baisse du chiffre d'affaires, en valeur et en volume</w:t>
      </w:r>
    </w:p>
    <w:p w14:paraId="77FC06BA" w14:textId="77777777" w:rsidR="0039673B" w:rsidRPr="00DB20F6" w:rsidRDefault="0039673B" w:rsidP="0039673B">
      <w:pPr>
        <w:pStyle w:val="BodyText"/>
        <w:rPr>
          <w:rFonts w:asciiTheme="minorHAnsi" w:hAnsiTheme="minorHAnsi" w:cstheme="minorHAnsi"/>
          <w:szCs w:val="22"/>
        </w:rPr>
      </w:pPr>
    </w:p>
    <w:tbl>
      <w:tblPr>
        <w:tblW w:w="10315" w:type="dxa"/>
        <w:tblInd w:w="-497" w:type="dxa"/>
        <w:tblLayout w:type="fixed"/>
        <w:tblCellMar>
          <w:left w:w="70" w:type="dxa"/>
          <w:right w:w="70" w:type="dxa"/>
        </w:tblCellMar>
        <w:tblLook w:val="04A0" w:firstRow="1" w:lastRow="0" w:firstColumn="1" w:lastColumn="0" w:noHBand="0" w:noVBand="1"/>
      </w:tblPr>
      <w:tblGrid>
        <w:gridCol w:w="2760"/>
        <w:gridCol w:w="847"/>
        <w:gridCol w:w="847"/>
        <w:gridCol w:w="844"/>
        <w:gridCol w:w="939"/>
        <w:gridCol w:w="709"/>
        <w:gridCol w:w="851"/>
        <w:gridCol w:w="1275"/>
        <w:gridCol w:w="1243"/>
      </w:tblGrid>
      <w:tr w:rsidR="0039673B" w:rsidRPr="00DB20F6" w14:paraId="0E9AD306" w14:textId="77777777" w:rsidTr="003A7539">
        <w:trPr>
          <w:trHeight w:val="1047"/>
        </w:trPr>
        <w:tc>
          <w:tcPr>
            <w:tcW w:w="7797" w:type="dxa"/>
            <w:gridSpan w:val="7"/>
            <w:tcBorders>
              <w:top w:val="single" w:sz="4" w:space="0" w:color="auto"/>
              <w:left w:val="single" w:sz="4" w:space="0" w:color="auto"/>
              <w:bottom w:val="single" w:sz="4" w:space="0" w:color="auto"/>
              <w:right w:val="single" w:sz="4" w:space="0" w:color="auto"/>
            </w:tcBorders>
            <w:shd w:val="clear" w:color="auto" w:fill="FFC000"/>
            <w:noWrap/>
            <w:vAlign w:val="center"/>
          </w:tcPr>
          <w:p w14:paraId="3E071F03" w14:textId="77777777" w:rsidR="003A7539" w:rsidRDefault="0039673B" w:rsidP="00C07BA6">
            <w:pPr>
              <w:jc w:val="center"/>
              <w:rPr>
                <w:b/>
                <w:color w:val="000000"/>
              </w:rPr>
            </w:pPr>
            <w:r w:rsidRPr="00DB20F6">
              <w:rPr>
                <w:b/>
                <w:color w:val="000000"/>
              </w:rPr>
              <w:t>Evolution du chiffre d'affaires dans</w:t>
            </w:r>
          </w:p>
          <w:p w14:paraId="1A9AFF3D" w14:textId="185989C6" w:rsidR="0039673B" w:rsidRPr="00DB20F6" w:rsidRDefault="0039673B" w:rsidP="00C07BA6">
            <w:pPr>
              <w:jc w:val="center"/>
              <w:rPr>
                <w:rFonts w:cstheme="minorHAnsi"/>
                <w:b/>
                <w:bCs/>
                <w:color w:val="000000"/>
              </w:rPr>
            </w:pPr>
            <w:r w:rsidRPr="00DB20F6">
              <w:rPr>
                <w:b/>
                <w:color w:val="000000"/>
              </w:rPr>
              <w:t>l’industrie belge de l’ameublement</w:t>
            </w:r>
          </w:p>
        </w:tc>
        <w:tc>
          <w:tcPr>
            <w:tcW w:w="1275"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473E8FC4" w14:textId="77777777" w:rsidR="0039673B" w:rsidRPr="00DB20F6" w:rsidRDefault="0039673B" w:rsidP="00C07BA6">
            <w:pPr>
              <w:jc w:val="center"/>
              <w:rPr>
                <w:rFonts w:cstheme="minorHAnsi"/>
                <w:b/>
                <w:bCs/>
                <w:color w:val="000000"/>
              </w:rPr>
            </w:pPr>
            <w:r w:rsidRPr="00DB20F6">
              <w:rPr>
                <w:b/>
                <w:color w:val="000000"/>
              </w:rPr>
              <w:t>Prix à la production</w:t>
            </w:r>
          </w:p>
        </w:tc>
        <w:tc>
          <w:tcPr>
            <w:tcW w:w="1243"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461E2C6B" w14:textId="77777777" w:rsidR="0039673B" w:rsidRPr="00DB20F6" w:rsidRDefault="0039673B" w:rsidP="00C07BA6">
            <w:pPr>
              <w:jc w:val="center"/>
              <w:rPr>
                <w:rFonts w:cstheme="minorHAnsi"/>
                <w:b/>
                <w:bCs/>
                <w:color w:val="000000"/>
              </w:rPr>
            </w:pPr>
            <w:r w:rsidRPr="00DB20F6">
              <w:rPr>
                <w:b/>
                <w:color w:val="000000"/>
              </w:rPr>
              <w:t>Chiffre d'affaires en volume</w:t>
            </w:r>
          </w:p>
        </w:tc>
      </w:tr>
      <w:tr w:rsidR="003A7539" w:rsidRPr="00DB20F6" w14:paraId="4E552887" w14:textId="77777777" w:rsidTr="003A7539">
        <w:trPr>
          <w:trHeight w:val="873"/>
        </w:trPr>
        <w:tc>
          <w:tcPr>
            <w:tcW w:w="276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49E51F6" w14:textId="77777777" w:rsidR="0039673B" w:rsidRPr="00DB20F6" w:rsidRDefault="0039673B" w:rsidP="00C07BA6">
            <w:pPr>
              <w:jc w:val="center"/>
              <w:rPr>
                <w:rFonts w:cstheme="minorHAnsi"/>
                <w:b/>
                <w:bCs/>
                <w:color w:val="000000"/>
              </w:rPr>
            </w:pPr>
            <w:r w:rsidRPr="00DB20F6">
              <w:rPr>
                <w:b/>
                <w:color w:val="000000"/>
              </w:rPr>
              <w:t>En millions d'euros</w:t>
            </w:r>
          </w:p>
        </w:tc>
        <w:tc>
          <w:tcPr>
            <w:tcW w:w="847" w:type="dxa"/>
            <w:tcBorders>
              <w:top w:val="single" w:sz="4" w:space="0" w:color="auto"/>
              <w:left w:val="nil"/>
              <w:bottom w:val="single" w:sz="4" w:space="0" w:color="auto"/>
              <w:right w:val="single" w:sz="4" w:space="0" w:color="auto"/>
            </w:tcBorders>
            <w:shd w:val="clear" w:color="auto" w:fill="FFC000"/>
            <w:noWrap/>
            <w:vAlign w:val="center"/>
            <w:hideMark/>
          </w:tcPr>
          <w:p w14:paraId="28BB40D5" w14:textId="77777777" w:rsidR="0039673B" w:rsidRPr="00DB20F6" w:rsidRDefault="0039673B" w:rsidP="00C07BA6">
            <w:pPr>
              <w:jc w:val="center"/>
              <w:rPr>
                <w:rFonts w:cstheme="minorHAnsi"/>
                <w:b/>
                <w:bCs/>
                <w:color w:val="000000"/>
              </w:rPr>
            </w:pPr>
            <w:r w:rsidRPr="00DB20F6">
              <w:rPr>
                <w:b/>
                <w:color w:val="000000"/>
              </w:rPr>
              <w:t>2021</w:t>
            </w:r>
          </w:p>
        </w:tc>
        <w:tc>
          <w:tcPr>
            <w:tcW w:w="847" w:type="dxa"/>
            <w:tcBorders>
              <w:top w:val="single" w:sz="4" w:space="0" w:color="auto"/>
              <w:left w:val="nil"/>
              <w:bottom w:val="single" w:sz="4" w:space="0" w:color="auto"/>
              <w:right w:val="single" w:sz="4" w:space="0" w:color="auto"/>
            </w:tcBorders>
            <w:shd w:val="clear" w:color="auto" w:fill="FFC000"/>
            <w:noWrap/>
            <w:vAlign w:val="center"/>
            <w:hideMark/>
          </w:tcPr>
          <w:p w14:paraId="32B2E586" w14:textId="77777777" w:rsidR="0039673B" w:rsidRPr="00DB20F6" w:rsidRDefault="0039673B" w:rsidP="00C07BA6">
            <w:pPr>
              <w:jc w:val="center"/>
              <w:rPr>
                <w:rFonts w:cstheme="minorHAnsi"/>
                <w:b/>
                <w:bCs/>
                <w:color w:val="000000"/>
              </w:rPr>
            </w:pPr>
            <w:r w:rsidRPr="00DB20F6">
              <w:rPr>
                <w:b/>
                <w:color w:val="000000"/>
              </w:rPr>
              <w:t>2022</w:t>
            </w:r>
          </w:p>
        </w:tc>
        <w:tc>
          <w:tcPr>
            <w:tcW w:w="844" w:type="dxa"/>
            <w:tcBorders>
              <w:top w:val="single" w:sz="4" w:space="0" w:color="auto"/>
              <w:left w:val="nil"/>
              <w:bottom w:val="single" w:sz="4" w:space="0" w:color="auto"/>
              <w:right w:val="single" w:sz="4" w:space="0" w:color="auto"/>
            </w:tcBorders>
            <w:shd w:val="clear" w:color="auto" w:fill="FFC000"/>
            <w:noWrap/>
            <w:vAlign w:val="center"/>
            <w:hideMark/>
          </w:tcPr>
          <w:p w14:paraId="141C1DB9" w14:textId="77777777" w:rsidR="0039673B" w:rsidRPr="00DB20F6" w:rsidRDefault="0039673B" w:rsidP="00C07BA6">
            <w:pPr>
              <w:jc w:val="center"/>
              <w:rPr>
                <w:rFonts w:cstheme="minorHAnsi"/>
                <w:b/>
                <w:bCs/>
                <w:color w:val="000000"/>
              </w:rPr>
            </w:pPr>
            <w:r w:rsidRPr="00DB20F6">
              <w:rPr>
                <w:b/>
                <w:color w:val="000000"/>
              </w:rPr>
              <w:t>'22/'21</w:t>
            </w:r>
          </w:p>
        </w:tc>
        <w:tc>
          <w:tcPr>
            <w:tcW w:w="939" w:type="dxa"/>
            <w:tcBorders>
              <w:top w:val="single" w:sz="4" w:space="0" w:color="auto"/>
              <w:left w:val="nil"/>
              <w:bottom w:val="single" w:sz="4" w:space="0" w:color="auto"/>
              <w:right w:val="single" w:sz="4" w:space="0" w:color="auto"/>
            </w:tcBorders>
            <w:shd w:val="clear" w:color="auto" w:fill="FFC000"/>
            <w:noWrap/>
            <w:vAlign w:val="center"/>
            <w:hideMark/>
          </w:tcPr>
          <w:p w14:paraId="15AD0618" w14:textId="77777777" w:rsidR="0039673B" w:rsidRPr="00DB20F6" w:rsidRDefault="0039673B" w:rsidP="00C07BA6">
            <w:pPr>
              <w:jc w:val="center"/>
              <w:rPr>
                <w:rFonts w:cstheme="minorHAnsi"/>
                <w:b/>
                <w:bCs/>
                <w:color w:val="000000"/>
              </w:rPr>
            </w:pPr>
            <w:r w:rsidRPr="00DB20F6">
              <w:rPr>
                <w:rFonts w:ascii="Calibri" w:hAnsi="Calibri"/>
                <w:b/>
                <w:color w:val="000000"/>
              </w:rPr>
              <w:t xml:space="preserve">6 m 2022 </w:t>
            </w:r>
          </w:p>
        </w:tc>
        <w:tc>
          <w:tcPr>
            <w:tcW w:w="709" w:type="dxa"/>
            <w:tcBorders>
              <w:top w:val="single" w:sz="4" w:space="0" w:color="auto"/>
              <w:left w:val="nil"/>
              <w:bottom w:val="single" w:sz="4" w:space="0" w:color="auto"/>
              <w:right w:val="single" w:sz="4" w:space="0" w:color="auto"/>
            </w:tcBorders>
            <w:shd w:val="clear" w:color="auto" w:fill="FFC000"/>
            <w:noWrap/>
            <w:vAlign w:val="center"/>
            <w:hideMark/>
          </w:tcPr>
          <w:p w14:paraId="29CF8FED" w14:textId="77777777" w:rsidR="0039673B" w:rsidRPr="00DB20F6" w:rsidRDefault="0039673B" w:rsidP="00C07BA6">
            <w:pPr>
              <w:jc w:val="center"/>
              <w:rPr>
                <w:b/>
                <w:bCs/>
                <w:color w:val="000000"/>
              </w:rPr>
            </w:pPr>
            <w:r w:rsidRPr="00DB20F6">
              <w:rPr>
                <w:rFonts w:ascii="Calibri" w:hAnsi="Calibri"/>
                <w:b/>
                <w:color w:val="000000" w:themeColor="text1"/>
              </w:rPr>
              <w:t>6 m 2023*</w:t>
            </w:r>
          </w:p>
        </w:tc>
        <w:tc>
          <w:tcPr>
            <w:tcW w:w="851" w:type="dxa"/>
            <w:tcBorders>
              <w:top w:val="single" w:sz="4" w:space="0" w:color="auto"/>
              <w:left w:val="nil"/>
              <w:bottom w:val="single" w:sz="4" w:space="0" w:color="auto"/>
              <w:right w:val="nil"/>
            </w:tcBorders>
            <w:shd w:val="clear" w:color="auto" w:fill="FFC000"/>
            <w:noWrap/>
            <w:vAlign w:val="center"/>
            <w:hideMark/>
          </w:tcPr>
          <w:p w14:paraId="1AD13C56" w14:textId="77777777" w:rsidR="0039673B" w:rsidRPr="00DB20F6" w:rsidRDefault="0039673B" w:rsidP="00C07BA6">
            <w:pPr>
              <w:jc w:val="center"/>
              <w:rPr>
                <w:rFonts w:cstheme="minorHAnsi"/>
                <w:b/>
                <w:bCs/>
                <w:color w:val="000000"/>
              </w:rPr>
            </w:pPr>
            <w:r w:rsidRPr="00DB20F6">
              <w:rPr>
                <w:rFonts w:ascii="Calibri" w:hAnsi="Calibri"/>
                <w:b/>
                <w:color w:val="000000"/>
              </w:rPr>
              <w:t>6 m '23/'22</w:t>
            </w:r>
          </w:p>
        </w:tc>
        <w:tc>
          <w:tcPr>
            <w:tcW w:w="1275"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68045C6C" w14:textId="77777777" w:rsidR="0039673B" w:rsidRPr="00DB20F6" w:rsidRDefault="0039673B" w:rsidP="00C07BA6">
            <w:pPr>
              <w:jc w:val="center"/>
              <w:rPr>
                <w:rFonts w:ascii="Calibri" w:hAnsi="Calibri" w:cs="Calibri"/>
                <w:b/>
                <w:bCs/>
                <w:color w:val="000000"/>
              </w:rPr>
            </w:pPr>
            <w:r w:rsidRPr="00DB20F6">
              <w:rPr>
                <w:rFonts w:ascii="Calibri" w:hAnsi="Calibri"/>
                <w:b/>
                <w:color w:val="000000"/>
              </w:rPr>
              <w:t>6 m '23/'22</w:t>
            </w:r>
          </w:p>
        </w:tc>
        <w:tc>
          <w:tcPr>
            <w:tcW w:w="124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0A5A8962" w14:textId="77777777" w:rsidR="0039673B" w:rsidRPr="00DB20F6" w:rsidRDefault="0039673B" w:rsidP="00C07BA6">
            <w:pPr>
              <w:jc w:val="center"/>
              <w:rPr>
                <w:rFonts w:cstheme="minorHAnsi"/>
                <w:b/>
                <w:bCs/>
                <w:color w:val="000000"/>
              </w:rPr>
            </w:pPr>
            <w:r w:rsidRPr="00DB20F6">
              <w:rPr>
                <w:b/>
                <w:color w:val="000000"/>
              </w:rPr>
              <w:t xml:space="preserve"> 6 m '/'22</w:t>
            </w:r>
          </w:p>
        </w:tc>
      </w:tr>
      <w:tr w:rsidR="0039673B" w:rsidRPr="00DB20F6" w14:paraId="2803378E" w14:textId="77777777" w:rsidTr="003A7539">
        <w:trPr>
          <w:trHeight w:val="1178"/>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3400982A" w14:textId="77777777" w:rsidR="0039673B" w:rsidRPr="00DB20F6" w:rsidRDefault="0039673B" w:rsidP="00C07BA6">
            <w:pPr>
              <w:rPr>
                <w:rFonts w:cstheme="minorHAnsi"/>
                <w:color w:val="000000"/>
              </w:rPr>
            </w:pPr>
            <w:r w:rsidRPr="00DB20F6">
              <w:rPr>
                <w:color w:val="000000"/>
              </w:rPr>
              <w:t>Chaises et sièges, meubles de salle à manger, salon, chambre à coucher, salle de bains, jardin et terrasse</w:t>
            </w:r>
          </w:p>
        </w:tc>
        <w:tc>
          <w:tcPr>
            <w:tcW w:w="847" w:type="dxa"/>
            <w:tcBorders>
              <w:top w:val="nil"/>
              <w:left w:val="nil"/>
              <w:bottom w:val="single" w:sz="4" w:space="0" w:color="auto"/>
              <w:right w:val="nil"/>
            </w:tcBorders>
            <w:shd w:val="clear" w:color="auto" w:fill="auto"/>
            <w:noWrap/>
            <w:vAlign w:val="center"/>
            <w:hideMark/>
          </w:tcPr>
          <w:p w14:paraId="15DA43ED" w14:textId="77777777" w:rsidR="0039673B" w:rsidRPr="00DB20F6" w:rsidRDefault="0039673B" w:rsidP="00C07BA6">
            <w:pPr>
              <w:jc w:val="right"/>
              <w:rPr>
                <w:rFonts w:cstheme="minorHAnsi"/>
                <w:color w:val="000000"/>
              </w:rPr>
            </w:pPr>
            <w:r w:rsidRPr="00DB20F6">
              <w:rPr>
                <w:color w:val="000000"/>
              </w:rPr>
              <w:t>933,8</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16C8534" w14:textId="77777777" w:rsidR="0039673B" w:rsidRPr="00DB20F6" w:rsidRDefault="0039673B" w:rsidP="00C07BA6">
            <w:pPr>
              <w:jc w:val="right"/>
              <w:rPr>
                <w:rFonts w:cstheme="minorHAnsi"/>
                <w:color w:val="000000"/>
              </w:rPr>
            </w:pPr>
            <w:r w:rsidRPr="00DB20F6">
              <w:rPr>
                <w:rFonts w:ascii="Calibri" w:hAnsi="Calibri"/>
                <w:color w:val="000000"/>
              </w:rPr>
              <w:t>929,5</w:t>
            </w:r>
          </w:p>
        </w:tc>
        <w:tc>
          <w:tcPr>
            <w:tcW w:w="844" w:type="dxa"/>
            <w:tcBorders>
              <w:top w:val="nil"/>
              <w:left w:val="nil"/>
              <w:bottom w:val="single" w:sz="4" w:space="0" w:color="auto"/>
              <w:right w:val="single" w:sz="4" w:space="0" w:color="auto"/>
            </w:tcBorders>
            <w:shd w:val="clear" w:color="auto" w:fill="auto"/>
            <w:noWrap/>
            <w:vAlign w:val="center"/>
            <w:hideMark/>
          </w:tcPr>
          <w:p w14:paraId="6B3F1F3D" w14:textId="77777777" w:rsidR="0039673B" w:rsidRPr="00DB20F6" w:rsidRDefault="0039673B" w:rsidP="00C07BA6">
            <w:pPr>
              <w:jc w:val="right"/>
              <w:rPr>
                <w:rFonts w:cstheme="minorHAnsi"/>
                <w:b/>
                <w:bCs/>
                <w:color w:val="000000"/>
              </w:rPr>
            </w:pPr>
            <w:r w:rsidRPr="00DB20F6">
              <w:rPr>
                <w:rFonts w:ascii="Calibri" w:hAnsi="Calibri"/>
                <w:color w:val="000000"/>
              </w:rPr>
              <w:t>-0,5 %</w:t>
            </w:r>
          </w:p>
        </w:tc>
        <w:tc>
          <w:tcPr>
            <w:tcW w:w="939" w:type="dxa"/>
            <w:tcBorders>
              <w:top w:val="nil"/>
              <w:left w:val="nil"/>
              <w:bottom w:val="single" w:sz="4" w:space="0" w:color="auto"/>
              <w:right w:val="single" w:sz="4" w:space="0" w:color="auto"/>
            </w:tcBorders>
            <w:shd w:val="clear" w:color="auto" w:fill="auto"/>
            <w:noWrap/>
            <w:vAlign w:val="center"/>
            <w:hideMark/>
          </w:tcPr>
          <w:p w14:paraId="6F9E5108" w14:textId="77777777" w:rsidR="0039673B" w:rsidRPr="00DB20F6" w:rsidRDefault="0039673B" w:rsidP="00C07BA6">
            <w:pPr>
              <w:jc w:val="right"/>
              <w:rPr>
                <w:rFonts w:cstheme="minorHAnsi"/>
                <w:color w:val="000000"/>
              </w:rPr>
            </w:pPr>
            <w:r w:rsidRPr="00DB20F6">
              <w:rPr>
                <w:rFonts w:ascii="Calibri" w:hAnsi="Calibri"/>
                <w:color w:val="000000"/>
              </w:rPr>
              <w:t>489,3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7979313" w14:textId="77777777" w:rsidR="0039673B" w:rsidRPr="00DB20F6" w:rsidRDefault="0039673B" w:rsidP="00C07BA6">
            <w:pPr>
              <w:jc w:val="right"/>
              <w:rPr>
                <w:rFonts w:cstheme="minorHAnsi"/>
                <w:color w:val="000000"/>
              </w:rPr>
            </w:pPr>
            <w:r w:rsidRPr="00DB20F6">
              <w:rPr>
                <w:rFonts w:ascii="Calibri" w:hAnsi="Calibri"/>
                <w:color w:val="000000"/>
              </w:rPr>
              <w:t>466,1</w:t>
            </w:r>
          </w:p>
        </w:tc>
        <w:tc>
          <w:tcPr>
            <w:tcW w:w="851" w:type="dxa"/>
            <w:tcBorders>
              <w:top w:val="nil"/>
              <w:left w:val="nil"/>
              <w:bottom w:val="single" w:sz="4" w:space="0" w:color="auto"/>
              <w:right w:val="nil"/>
            </w:tcBorders>
            <w:shd w:val="clear" w:color="auto" w:fill="auto"/>
            <w:noWrap/>
            <w:vAlign w:val="center"/>
            <w:hideMark/>
          </w:tcPr>
          <w:p w14:paraId="7CF1FA6B" w14:textId="77777777" w:rsidR="0039673B" w:rsidRPr="00DB20F6" w:rsidRDefault="0039673B" w:rsidP="00C07BA6">
            <w:pPr>
              <w:jc w:val="right"/>
              <w:rPr>
                <w:rFonts w:cstheme="minorHAnsi"/>
                <w:color w:val="000000"/>
              </w:rPr>
            </w:pPr>
            <w:r w:rsidRPr="00DB20F6">
              <w:rPr>
                <w:rFonts w:ascii="Calibri" w:hAnsi="Calibri"/>
                <w:color w:val="000000"/>
              </w:rPr>
              <w:t>-4,7 %</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6A20D5C0" w14:textId="77777777" w:rsidR="0039673B" w:rsidRPr="00DB20F6" w:rsidRDefault="0039673B" w:rsidP="00C07BA6">
            <w:pPr>
              <w:jc w:val="right"/>
              <w:rPr>
                <w:rFonts w:cstheme="minorHAnsi"/>
                <w:color w:val="000000"/>
              </w:rPr>
            </w:pPr>
            <w:r w:rsidRPr="00DB20F6">
              <w:rPr>
                <w:rFonts w:ascii="Calibri" w:hAnsi="Calibri"/>
                <w:color w:val="000000"/>
              </w:rPr>
              <w:t>+9,0 %</w:t>
            </w:r>
          </w:p>
        </w:tc>
        <w:tc>
          <w:tcPr>
            <w:tcW w:w="124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8B522C3" w14:textId="77777777" w:rsidR="0039673B" w:rsidRPr="00DB20F6" w:rsidRDefault="0039673B" w:rsidP="00C07BA6">
            <w:pPr>
              <w:jc w:val="right"/>
              <w:rPr>
                <w:rFonts w:cstheme="minorHAnsi"/>
                <w:b/>
                <w:bCs/>
              </w:rPr>
            </w:pPr>
            <w:r w:rsidRPr="00DB20F6">
              <w:rPr>
                <w:rFonts w:ascii="Calibri" w:hAnsi="Calibri"/>
                <w:b/>
                <w:color w:val="000000"/>
              </w:rPr>
              <w:t>-13,7 %</w:t>
            </w:r>
          </w:p>
        </w:tc>
      </w:tr>
      <w:tr w:rsidR="0039673B" w:rsidRPr="00DB20F6" w14:paraId="5E4E86D9" w14:textId="77777777" w:rsidTr="003A7539">
        <w:trPr>
          <w:trHeight w:val="36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1E771C94" w14:textId="77777777" w:rsidR="0039673B" w:rsidRPr="00DB20F6" w:rsidRDefault="0039673B" w:rsidP="00C07BA6">
            <w:pPr>
              <w:rPr>
                <w:rFonts w:cstheme="minorHAnsi"/>
                <w:color w:val="000000"/>
              </w:rPr>
            </w:pPr>
            <w:r w:rsidRPr="00DB20F6">
              <w:rPr>
                <w:color w:val="000000"/>
              </w:rPr>
              <w:t>Meubles de bureau et de magasin</w:t>
            </w:r>
          </w:p>
        </w:tc>
        <w:tc>
          <w:tcPr>
            <w:tcW w:w="847" w:type="dxa"/>
            <w:tcBorders>
              <w:top w:val="nil"/>
              <w:left w:val="nil"/>
              <w:bottom w:val="single" w:sz="4" w:space="0" w:color="auto"/>
              <w:right w:val="nil"/>
            </w:tcBorders>
            <w:shd w:val="clear" w:color="auto" w:fill="auto"/>
            <w:noWrap/>
            <w:vAlign w:val="center"/>
            <w:hideMark/>
          </w:tcPr>
          <w:p w14:paraId="5A901302" w14:textId="77777777" w:rsidR="0039673B" w:rsidRPr="00DB20F6" w:rsidRDefault="0039673B" w:rsidP="00C07BA6">
            <w:pPr>
              <w:jc w:val="right"/>
              <w:rPr>
                <w:rFonts w:cstheme="minorHAnsi"/>
                <w:color w:val="000000"/>
              </w:rPr>
            </w:pPr>
            <w:r w:rsidRPr="00DB20F6">
              <w:rPr>
                <w:color w:val="000000"/>
              </w:rPr>
              <w:t>489,6</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4362B3C" w14:textId="77777777" w:rsidR="0039673B" w:rsidRPr="00DB20F6" w:rsidRDefault="0039673B" w:rsidP="00C07BA6">
            <w:pPr>
              <w:jc w:val="right"/>
              <w:rPr>
                <w:rFonts w:cstheme="minorHAnsi"/>
                <w:color w:val="000000"/>
              </w:rPr>
            </w:pPr>
            <w:r w:rsidRPr="00DB20F6">
              <w:rPr>
                <w:rFonts w:ascii="Calibri" w:hAnsi="Calibri"/>
                <w:color w:val="000000"/>
              </w:rPr>
              <w:t>572,8</w:t>
            </w:r>
          </w:p>
        </w:tc>
        <w:tc>
          <w:tcPr>
            <w:tcW w:w="844" w:type="dxa"/>
            <w:tcBorders>
              <w:top w:val="nil"/>
              <w:left w:val="nil"/>
              <w:bottom w:val="single" w:sz="4" w:space="0" w:color="auto"/>
              <w:right w:val="single" w:sz="4" w:space="0" w:color="auto"/>
            </w:tcBorders>
            <w:shd w:val="clear" w:color="auto" w:fill="auto"/>
            <w:noWrap/>
            <w:vAlign w:val="center"/>
            <w:hideMark/>
          </w:tcPr>
          <w:p w14:paraId="0D259223" w14:textId="77777777" w:rsidR="0039673B" w:rsidRPr="00DB20F6" w:rsidRDefault="0039673B" w:rsidP="00C07BA6">
            <w:pPr>
              <w:jc w:val="right"/>
              <w:rPr>
                <w:rFonts w:cstheme="minorHAnsi"/>
                <w:b/>
                <w:bCs/>
                <w:color w:val="000000"/>
              </w:rPr>
            </w:pPr>
            <w:r w:rsidRPr="00DB20F6">
              <w:rPr>
                <w:rFonts w:ascii="Calibri" w:hAnsi="Calibri"/>
                <w:color w:val="000000"/>
              </w:rPr>
              <w:t>17,0 %</w:t>
            </w:r>
          </w:p>
        </w:tc>
        <w:tc>
          <w:tcPr>
            <w:tcW w:w="939" w:type="dxa"/>
            <w:tcBorders>
              <w:top w:val="nil"/>
              <w:left w:val="nil"/>
              <w:bottom w:val="single" w:sz="4" w:space="0" w:color="auto"/>
              <w:right w:val="single" w:sz="4" w:space="0" w:color="auto"/>
            </w:tcBorders>
            <w:shd w:val="clear" w:color="auto" w:fill="auto"/>
            <w:noWrap/>
            <w:vAlign w:val="center"/>
            <w:hideMark/>
          </w:tcPr>
          <w:p w14:paraId="75640D6C" w14:textId="77777777" w:rsidR="0039673B" w:rsidRPr="00DB20F6" w:rsidRDefault="0039673B" w:rsidP="00C07BA6">
            <w:pPr>
              <w:jc w:val="right"/>
              <w:rPr>
                <w:rFonts w:cstheme="minorHAnsi"/>
                <w:color w:val="000000"/>
              </w:rPr>
            </w:pPr>
            <w:r w:rsidRPr="00DB20F6">
              <w:rPr>
                <w:rFonts w:ascii="Calibri" w:hAnsi="Calibri"/>
                <w:color w:val="000000"/>
              </w:rPr>
              <w:t>287,6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A63D7BB" w14:textId="77777777" w:rsidR="0039673B" w:rsidRPr="00DB20F6" w:rsidRDefault="0039673B" w:rsidP="00C07BA6">
            <w:pPr>
              <w:jc w:val="right"/>
              <w:rPr>
                <w:rFonts w:cstheme="minorHAnsi"/>
                <w:color w:val="000000"/>
              </w:rPr>
            </w:pPr>
            <w:r w:rsidRPr="00DB20F6">
              <w:rPr>
                <w:rFonts w:ascii="Calibri" w:hAnsi="Calibri"/>
                <w:color w:val="000000"/>
              </w:rPr>
              <w:t>275,9</w:t>
            </w:r>
          </w:p>
        </w:tc>
        <w:tc>
          <w:tcPr>
            <w:tcW w:w="851" w:type="dxa"/>
            <w:tcBorders>
              <w:top w:val="nil"/>
              <w:left w:val="nil"/>
              <w:bottom w:val="single" w:sz="4" w:space="0" w:color="auto"/>
              <w:right w:val="nil"/>
            </w:tcBorders>
            <w:shd w:val="clear" w:color="auto" w:fill="auto"/>
            <w:noWrap/>
            <w:vAlign w:val="center"/>
            <w:hideMark/>
          </w:tcPr>
          <w:p w14:paraId="0357DF34" w14:textId="77777777" w:rsidR="0039673B" w:rsidRPr="00DB20F6" w:rsidRDefault="0039673B" w:rsidP="00C07BA6">
            <w:pPr>
              <w:jc w:val="right"/>
              <w:rPr>
                <w:rFonts w:cstheme="minorHAnsi"/>
                <w:color w:val="000000"/>
              </w:rPr>
            </w:pPr>
            <w:r w:rsidRPr="00DB20F6">
              <w:rPr>
                <w:rFonts w:ascii="Calibri" w:hAnsi="Calibri"/>
                <w:color w:val="000000"/>
              </w:rPr>
              <w:t>-4,1 %</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D1A7F31" w14:textId="77777777" w:rsidR="0039673B" w:rsidRPr="00DB20F6" w:rsidRDefault="0039673B" w:rsidP="00C07BA6">
            <w:pPr>
              <w:jc w:val="right"/>
              <w:rPr>
                <w:rFonts w:cstheme="minorHAnsi"/>
                <w:color w:val="000000"/>
              </w:rPr>
            </w:pPr>
            <w:r w:rsidRPr="00DB20F6">
              <w:rPr>
                <w:rFonts w:ascii="Calibri" w:hAnsi="Calibri"/>
                <w:color w:val="000000"/>
              </w:rPr>
              <w:t>+4,3 %</w:t>
            </w:r>
          </w:p>
        </w:tc>
        <w:tc>
          <w:tcPr>
            <w:tcW w:w="124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C8E6892" w14:textId="77777777" w:rsidR="0039673B" w:rsidRPr="00DB20F6" w:rsidRDefault="0039673B" w:rsidP="00C07BA6">
            <w:pPr>
              <w:jc w:val="right"/>
              <w:rPr>
                <w:rFonts w:cstheme="minorHAnsi"/>
                <w:b/>
                <w:bCs/>
              </w:rPr>
            </w:pPr>
            <w:r w:rsidRPr="00DB20F6">
              <w:rPr>
                <w:rFonts w:ascii="Calibri" w:hAnsi="Calibri"/>
                <w:b/>
                <w:color w:val="000000"/>
              </w:rPr>
              <w:t>-8,4 %</w:t>
            </w:r>
          </w:p>
        </w:tc>
      </w:tr>
      <w:tr w:rsidR="0039673B" w:rsidRPr="00DB20F6" w14:paraId="1E79A49A" w14:textId="77777777" w:rsidTr="003A7539">
        <w:trPr>
          <w:trHeight w:val="36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05981C8F" w14:textId="77777777" w:rsidR="0039673B" w:rsidRPr="00DB20F6" w:rsidRDefault="0039673B" w:rsidP="00C07BA6">
            <w:pPr>
              <w:rPr>
                <w:rFonts w:cstheme="minorHAnsi"/>
                <w:color w:val="000000"/>
              </w:rPr>
            </w:pPr>
            <w:r w:rsidRPr="00DB20F6">
              <w:rPr>
                <w:color w:val="000000"/>
              </w:rPr>
              <w:t>Meubles de cuisine</w:t>
            </w:r>
          </w:p>
        </w:tc>
        <w:tc>
          <w:tcPr>
            <w:tcW w:w="847" w:type="dxa"/>
            <w:tcBorders>
              <w:top w:val="nil"/>
              <w:left w:val="nil"/>
              <w:bottom w:val="single" w:sz="4" w:space="0" w:color="auto"/>
              <w:right w:val="nil"/>
            </w:tcBorders>
            <w:shd w:val="clear" w:color="auto" w:fill="auto"/>
            <w:noWrap/>
            <w:vAlign w:val="center"/>
            <w:hideMark/>
          </w:tcPr>
          <w:p w14:paraId="378C58BD" w14:textId="77777777" w:rsidR="0039673B" w:rsidRPr="00DB20F6" w:rsidRDefault="0039673B" w:rsidP="00C07BA6">
            <w:pPr>
              <w:jc w:val="right"/>
              <w:rPr>
                <w:rFonts w:cstheme="minorHAnsi"/>
                <w:color w:val="000000"/>
              </w:rPr>
            </w:pPr>
            <w:r w:rsidRPr="00DB20F6">
              <w:rPr>
                <w:color w:val="000000"/>
              </w:rPr>
              <w:t>482,9</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E352CBE" w14:textId="77777777" w:rsidR="0039673B" w:rsidRPr="00DB20F6" w:rsidRDefault="0039673B" w:rsidP="00C07BA6">
            <w:pPr>
              <w:jc w:val="right"/>
              <w:rPr>
                <w:rFonts w:cstheme="minorHAnsi"/>
                <w:color w:val="000000"/>
              </w:rPr>
            </w:pPr>
            <w:r w:rsidRPr="00DB20F6">
              <w:rPr>
                <w:rFonts w:ascii="Calibri" w:hAnsi="Calibri"/>
                <w:color w:val="000000"/>
              </w:rPr>
              <w:t>513,5</w:t>
            </w:r>
          </w:p>
        </w:tc>
        <w:tc>
          <w:tcPr>
            <w:tcW w:w="844" w:type="dxa"/>
            <w:tcBorders>
              <w:top w:val="nil"/>
              <w:left w:val="nil"/>
              <w:bottom w:val="single" w:sz="4" w:space="0" w:color="auto"/>
              <w:right w:val="single" w:sz="4" w:space="0" w:color="auto"/>
            </w:tcBorders>
            <w:shd w:val="clear" w:color="auto" w:fill="auto"/>
            <w:noWrap/>
            <w:vAlign w:val="center"/>
            <w:hideMark/>
          </w:tcPr>
          <w:p w14:paraId="790245F1" w14:textId="77777777" w:rsidR="0039673B" w:rsidRPr="00DB20F6" w:rsidRDefault="0039673B" w:rsidP="00C07BA6">
            <w:pPr>
              <w:jc w:val="right"/>
              <w:rPr>
                <w:rFonts w:cstheme="minorHAnsi"/>
                <w:b/>
                <w:bCs/>
                <w:color w:val="000000"/>
              </w:rPr>
            </w:pPr>
            <w:r w:rsidRPr="00DB20F6">
              <w:rPr>
                <w:rFonts w:ascii="Calibri" w:hAnsi="Calibri"/>
                <w:color w:val="000000"/>
              </w:rPr>
              <w:t>6,3 %</w:t>
            </w:r>
          </w:p>
        </w:tc>
        <w:tc>
          <w:tcPr>
            <w:tcW w:w="939" w:type="dxa"/>
            <w:tcBorders>
              <w:top w:val="nil"/>
              <w:left w:val="nil"/>
              <w:bottom w:val="single" w:sz="4" w:space="0" w:color="auto"/>
              <w:right w:val="single" w:sz="4" w:space="0" w:color="auto"/>
            </w:tcBorders>
            <w:shd w:val="clear" w:color="auto" w:fill="auto"/>
            <w:noWrap/>
            <w:vAlign w:val="center"/>
            <w:hideMark/>
          </w:tcPr>
          <w:p w14:paraId="67423558" w14:textId="77777777" w:rsidR="0039673B" w:rsidRPr="00DB20F6" w:rsidRDefault="0039673B" w:rsidP="00C07BA6">
            <w:pPr>
              <w:jc w:val="right"/>
              <w:rPr>
                <w:rFonts w:cstheme="minorHAnsi"/>
                <w:color w:val="000000"/>
              </w:rPr>
            </w:pPr>
            <w:r w:rsidRPr="00DB20F6">
              <w:rPr>
                <w:rFonts w:ascii="Calibri" w:hAnsi="Calibri"/>
                <w:color w:val="000000"/>
              </w:rPr>
              <w:t>262,8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205687A" w14:textId="77777777" w:rsidR="0039673B" w:rsidRPr="00DB20F6" w:rsidRDefault="0039673B" w:rsidP="00C07BA6">
            <w:pPr>
              <w:jc w:val="right"/>
              <w:rPr>
                <w:rFonts w:cstheme="minorHAnsi"/>
                <w:color w:val="000000"/>
              </w:rPr>
            </w:pPr>
            <w:r w:rsidRPr="00DB20F6">
              <w:rPr>
                <w:rFonts w:ascii="Calibri" w:hAnsi="Calibri"/>
                <w:color w:val="000000"/>
              </w:rPr>
              <w:t>262,2</w:t>
            </w:r>
          </w:p>
        </w:tc>
        <w:tc>
          <w:tcPr>
            <w:tcW w:w="851" w:type="dxa"/>
            <w:tcBorders>
              <w:top w:val="nil"/>
              <w:left w:val="nil"/>
              <w:bottom w:val="single" w:sz="4" w:space="0" w:color="auto"/>
              <w:right w:val="nil"/>
            </w:tcBorders>
            <w:shd w:val="clear" w:color="auto" w:fill="auto"/>
            <w:noWrap/>
            <w:vAlign w:val="center"/>
            <w:hideMark/>
          </w:tcPr>
          <w:p w14:paraId="548605A8" w14:textId="77777777" w:rsidR="0039673B" w:rsidRPr="00DB20F6" w:rsidRDefault="0039673B" w:rsidP="00C07BA6">
            <w:pPr>
              <w:jc w:val="right"/>
              <w:rPr>
                <w:rFonts w:cstheme="minorHAnsi"/>
                <w:color w:val="000000"/>
              </w:rPr>
            </w:pPr>
            <w:r w:rsidRPr="00DB20F6">
              <w:rPr>
                <w:rFonts w:ascii="Calibri" w:hAnsi="Calibri"/>
                <w:color w:val="000000"/>
              </w:rPr>
              <w:t>-0,2 %</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3493E941" w14:textId="77777777" w:rsidR="0039673B" w:rsidRPr="00DB20F6" w:rsidRDefault="0039673B" w:rsidP="00C07BA6">
            <w:pPr>
              <w:jc w:val="right"/>
              <w:rPr>
                <w:rFonts w:cstheme="minorHAnsi"/>
                <w:color w:val="000000"/>
              </w:rPr>
            </w:pPr>
            <w:r w:rsidRPr="00DB20F6">
              <w:rPr>
                <w:rFonts w:ascii="Calibri" w:hAnsi="Calibri"/>
                <w:color w:val="000000"/>
              </w:rPr>
              <w:t>+13,5 %</w:t>
            </w:r>
          </w:p>
        </w:tc>
        <w:tc>
          <w:tcPr>
            <w:tcW w:w="124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96839AF" w14:textId="77777777" w:rsidR="0039673B" w:rsidRPr="00DB20F6" w:rsidRDefault="0039673B" w:rsidP="00C07BA6">
            <w:pPr>
              <w:jc w:val="right"/>
              <w:rPr>
                <w:rFonts w:cstheme="minorHAnsi"/>
                <w:b/>
                <w:bCs/>
              </w:rPr>
            </w:pPr>
            <w:r w:rsidRPr="00DB20F6">
              <w:rPr>
                <w:rFonts w:ascii="Calibri" w:hAnsi="Calibri"/>
                <w:b/>
                <w:color w:val="000000"/>
              </w:rPr>
              <w:t>-13,7 %</w:t>
            </w:r>
          </w:p>
        </w:tc>
      </w:tr>
      <w:tr w:rsidR="0039673B" w:rsidRPr="00DB20F6" w14:paraId="0C34FB53" w14:textId="77777777" w:rsidTr="003A7539">
        <w:trPr>
          <w:trHeight w:val="36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3BAC59FF" w14:textId="77777777" w:rsidR="0039673B" w:rsidRPr="00DB20F6" w:rsidRDefault="0039673B" w:rsidP="00C07BA6">
            <w:pPr>
              <w:rPr>
                <w:rFonts w:cstheme="minorHAnsi"/>
                <w:color w:val="000000"/>
              </w:rPr>
            </w:pPr>
            <w:r w:rsidRPr="00DB20F6">
              <w:rPr>
                <w:color w:val="000000"/>
              </w:rPr>
              <w:t>Matelas et sommiers</w:t>
            </w:r>
          </w:p>
        </w:tc>
        <w:tc>
          <w:tcPr>
            <w:tcW w:w="847" w:type="dxa"/>
            <w:tcBorders>
              <w:top w:val="nil"/>
              <w:left w:val="nil"/>
              <w:bottom w:val="single" w:sz="4" w:space="0" w:color="auto"/>
              <w:right w:val="single" w:sz="4" w:space="0" w:color="auto"/>
            </w:tcBorders>
            <w:shd w:val="clear" w:color="auto" w:fill="auto"/>
            <w:noWrap/>
            <w:vAlign w:val="center"/>
            <w:hideMark/>
          </w:tcPr>
          <w:p w14:paraId="5E05725D" w14:textId="77777777" w:rsidR="0039673B" w:rsidRPr="00DB20F6" w:rsidRDefault="0039673B" w:rsidP="00C07BA6">
            <w:pPr>
              <w:jc w:val="right"/>
              <w:rPr>
                <w:rFonts w:cstheme="minorHAnsi"/>
                <w:color w:val="000000"/>
              </w:rPr>
            </w:pPr>
            <w:r w:rsidRPr="00DB20F6">
              <w:rPr>
                <w:color w:val="000000"/>
              </w:rPr>
              <w:t>365,8</w:t>
            </w:r>
          </w:p>
        </w:tc>
        <w:tc>
          <w:tcPr>
            <w:tcW w:w="847" w:type="dxa"/>
            <w:tcBorders>
              <w:top w:val="nil"/>
              <w:left w:val="nil"/>
              <w:bottom w:val="single" w:sz="4" w:space="0" w:color="auto"/>
              <w:right w:val="single" w:sz="4" w:space="0" w:color="auto"/>
            </w:tcBorders>
            <w:shd w:val="clear" w:color="auto" w:fill="auto"/>
            <w:noWrap/>
            <w:vAlign w:val="center"/>
            <w:hideMark/>
          </w:tcPr>
          <w:p w14:paraId="120134C0" w14:textId="77777777" w:rsidR="0039673B" w:rsidRPr="00DB20F6" w:rsidRDefault="0039673B" w:rsidP="00C07BA6">
            <w:pPr>
              <w:jc w:val="right"/>
              <w:rPr>
                <w:rFonts w:cstheme="minorHAnsi"/>
                <w:color w:val="000000"/>
              </w:rPr>
            </w:pPr>
            <w:r w:rsidRPr="00DB20F6">
              <w:rPr>
                <w:rFonts w:ascii="Calibri" w:hAnsi="Calibri"/>
                <w:color w:val="000000"/>
              </w:rPr>
              <w:t>247,7</w:t>
            </w:r>
          </w:p>
        </w:tc>
        <w:tc>
          <w:tcPr>
            <w:tcW w:w="844" w:type="dxa"/>
            <w:tcBorders>
              <w:top w:val="nil"/>
              <w:left w:val="nil"/>
              <w:bottom w:val="single" w:sz="4" w:space="0" w:color="auto"/>
              <w:right w:val="single" w:sz="4" w:space="0" w:color="auto"/>
            </w:tcBorders>
            <w:shd w:val="clear" w:color="auto" w:fill="auto"/>
            <w:noWrap/>
            <w:vAlign w:val="center"/>
            <w:hideMark/>
          </w:tcPr>
          <w:p w14:paraId="535170DB" w14:textId="77777777" w:rsidR="0039673B" w:rsidRPr="00DB20F6" w:rsidRDefault="0039673B" w:rsidP="00C07BA6">
            <w:pPr>
              <w:jc w:val="right"/>
              <w:rPr>
                <w:rFonts w:cstheme="minorHAnsi"/>
                <w:b/>
                <w:bCs/>
                <w:color w:val="000000"/>
              </w:rPr>
            </w:pPr>
            <w:r w:rsidRPr="00DB20F6">
              <w:rPr>
                <w:rFonts w:ascii="Calibri" w:hAnsi="Calibri"/>
                <w:color w:val="000000"/>
              </w:rPr>
              <w:t>-32,3 %</w:t>
            </w:r>
          </w:p>
        </w:tc>
        <w:tc>
          <w:tcPr>
            <w:tcW w:w="939" w:type="dxa"/>
            <w:tcBorders>
              <w:top w:val="nil"/>
              <w:left w:val="nil"/>
              <w:bottom w:val="single" w:sz="4" w:space="0" w:color="auto"/>
              <w:right w:val="single" w:sz="4" w:space="0" w:color="auto"/>
            </w:tcBorders>
            <w:shd w:val="clear" w:color="auto" w:fill="auto"/>
            <w:noWrap/>
            <w:vAlign w:val="center"/>
            <w:hideMark/>
          </w:tcPr>
          <w:p w14:paraId="766369DB" w14:textId="77777777" w:rsidR="0039673B" w:rsidRPr="00DB20F6" w:rsidRDefault="0039673B" w:rsidP="00C07BA6">
            <w:pPr>
              <w:jc w:val="right"/>
              <w:rPr>
                <w:rFonts w:cstheme="minorHAnsi"/>
                <w:color w:val="000000"/>
              </w:rPr>
            </w:pPr>
            <w:r w:rsidRPr="00DB20F6">
              <w:rPr>
                <w:rFonts w:ascii="Calibri" w:hAnsi="Calibri"/>
                <w:color w:val="000000"/>
              </w:rPr>
              <w:t>131,7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EE0F0C4" w14:textId="77777777" w:rsidR="0039673B" w:rsidRPr="00DB20F6" w:rsidRDefault="0039673B" w:rsidP="00C07BA6">
            <w:pPr>
              <w:jc w:val="right"/>
              <w:rPr>
                <w:rFonts w:cstheme="minorHAnsi"/>
                <w:color w:val="000000"/>
              </w:rPr>
            </w:pPr>
            <w:r w:rsidRPr="00DB20F6">
              <w:rPr>
                <w:rFonts w:ascii="Calibri" w:hAnsi="Calibri"/>
                <w:color w:val="000000"/>
              </w:rPr>
              <w:t>101,8</w:t>
            </w:r>
          </w:p>
        </w:tc>
        <w:tc>
          <w:tcPr>
            <w:tcW w:w="851" w:type="dxa"/>
            <w:tcBorders>
              <w:top w:val="nil"/>
              <w:left w:val="nil"/>
              <w:bottom w:val="single" w:sz="4" w:space="0" w:color="auto"/>
              <w:right w:val="nil"/>
            </w:tcBorders>
            <w:shd w:val="clear" w:color="auto" w:fill="auto"/>
            <w:noWrap/>
            <w:vAlign w:val="center"/>
            <w:hideMark/>
          </w:tcPr>
          <w:p w14:paraId="768172EE" w14:textId="77777777" w:rsidR="0039673B" w:rsidRPr="00DB20F6" w:rsidRDefault="0039673B" w:rsidP="00C07BA6">
            <w:pPr>
              <w:jc w:val="right"/>
              <w:rPr>
                <w:rFonts w:cstheme="minorHAnsi"/>
                <w:color w:val="000000"/>
              </w:rPr>
            </w:pPr>
            <w:r w:rsidRPr="00DB20F6">
              <w:rPr>
                <w:rFonts w:ascii="Calibri" w:hAnsi="Calibri"/>
                <w:color w:val="000000"/>
              </w:rPr>
              <w:t>-22,7 %</w:t>
            </w:r>
          </w:p>
        </w:tc>
        <w:tc>
          <w:tcPr>
            <w:tcW w:w="1275" w:type="dxa"/>
            <w:tcBorders>
              <w:top w:val="nil"/>
              <w:left w:val="single" w:sz="12" w:space="0" w:color="auto"/>
              <w:bottom w:val="single" w:sz="4" w:space="0" w:color="auto"/>
              <w:right w:val="single" w:sz="4" w:space="0" w:color="auto"/>
            </w:tcBorders>
            <w:shd w:val="clear" w:color="auto" w:fill="auto"/>
            <w:noWrap/>
            <w:vAlign w:val="center"/>
            <w:hideMark/>
          </w:tcPr>
          <w:p w14:paraId="5F230B98" w14:textId="77777777" w:rsidR="0039673B" w:rsidRPr="00DB20F6" w:rsidRDefault="0039673B" w:rsidP="00C07BA6">
            <w:pPr>
              <w:jc w:val="right"/>
              <w:rPr>
                <w:rFonts w:cstheme="minorHAnsi"/>
                <w:color w:val="000000"/>
              </w:rPr>
            </w:pPr>
            <w:r w:rsidRPr="00DB20F6">
              <w:rPr>
                <w:rFonts w:ascii="Calibri" w:hAnsi="Calibri"/>
                <w:color w:val="000000"/>
              </w:rPr>
              <w:t>+3,0 %</w:t>
            </w:r>
          </w:p>
        </w:tc>
        <w:tc>
          <w:tcPr>
            <w:tcW w:w="124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E80BF3A" w14:textId="77777777" w:rsidR="0039673B" w:rsidRPr="00DB20F6" w:rsidRDefault="0039673B" w:rsidP="00C07BA6">
            <w:pPr>
              <w:jc w:val="right"/>
              <w:rPr>
                <w:rFonts w:cstheme="minorHAnsi"/>
                <w:b/>
                <w:bCs/>
              </w:rPr>
            </w:pPr>
            <w:r w:rsidRPr="00DB20F6">
              <w:rPr>
                <w:rFonts w:ascii="Calibri" w:hAnsi="Calibri"/>
                <w:b/>
                <w:color w:val="000000"/>
              </w:rPr>
              <w:t>-25,7 %</w:t>
            </w:r>
          </w:p>
        </w:tc>
      </w:tr>
      <w:tr w:rsidR="003A7539" w:rsidRPr="00DB20F6" w14:paraId="5672063E" w14:textId="77777777" w:rsidTr="003A7539">
        <w:trPr>
          <w:trHeight w:val="360"/>
        </w:trPr>
        <w:tc>
          <w:tcPr>
            <w:tcW w:w="2760" w:type="dxa"/>
            <w:tcBorders>
              <w:top w:val="nil"/>
              <w:left w:val="single" w:sz="4" w:space="0" w:color="auto"/>
              <w:bottom w:val="single" w:sz="4" w:space="0" w:color="auto"/>
              <w:right w:val="single" w:sz="4" w:space="0" w:color="auto"/>
            </w:tcBorders>
            <w:shd w:val="clear" w:color="auto" w:fill="FFC000"/>
            <w:noWrap/>
            <w:vAlign w:val="center"/>
            <w:hideMark/>
          </w:tcPr>
          <w:p w14:paraId="679A5E2A" w14:textId="77777777" w:rsidR="0039673B" w:rsidRPr="00DB20F6" w:rsidRDefault="0039673B" w:rsidP="00C07BA6">
            <w:pPr>
              <w:rPr>
                <w:rFonts w:cstheme="minorHAnsi"/>
                <w:color w:val="000000"/>
              </w:rPr>
            </w:pPr>
            <w:r w:rsidRPr="00DB20F6">
              <w:rPr>
                <w:color w:val="000000"/>
              </w:rPr>
              <w:t>Industrie de l’ameublement</w:t>
            </w:r>
          </w:p>
        </w:tc>
        <w:tc>
          <w:tcPr>
            <w:tcW w:w="847" w:type="dxa"/>
            <w:tcBorders>
              <w:top w:val="nil"/>
              <w:left w:val="nil"/>
              <w:bottom w:val="single" w:sz="4" w:space="0" w:color="auto"/>
              <w:right w:val="single" w:sz="4" w:space="0" w:color="auto"/>
            </w:tcBorders>
            <w:shd w:val="clear" w:color="auto" w:fill="FFC000"/>
            <w:noWrap/>
            <w:vAlign w:val="center"/>
            <w:hideMark/>
          </w:tcPr>
          <w:p w14:paraId="281B683F" w14:textId="77777777" w:rsidR="0039673B" w:rsidRPr="00DB20F6" w:rsidRDefault="0039673B" w:rsidP="00C07BA6">
            <w:pPr>
              <w:jc w:val="right"/>
              <w:rPr>
                <w:rFonts w:cstheme="minorHAnsi"/>
                <w:color w:val="000000"/>
              </w:rPr>
            </w:pPr>
            <w:r w:rsidRPr="00DB20F6">
              <w:rPr>
                <w:color w:val="000000"/>
              </w:rPr>
              <w:t>2.272,1</w:t>
            </w:r>
          </w:p>
        </w:tc>
        <w:tc>
          <w:tcPr>
            <w:tcW w:w="847" w:type="dxa"/>
            <w:tcBorders>
              <w:top w:val="nil"/>
              <w:left w:val="nil"/>
              <w:bottom w:val="single" w:sz="4" w:space="0" w:color="auto"/>
              <w:right w:val="single" w:sz="4" w:space="0" w:color="auto"/>
            </w:tcBorders>
            <w:shd w:val="clear" w:color="auto" w:fill="FFC000"/>
            <w:noWrap/>
            <w:vAlign w:val="center"/>
            <w:hideMark/>
          </w:tcPr>
          <w:p w14:paraId="3E7AFD72" w14:textId="77777777" w:rsidR="0039673B" w:rsidRPr="00DB20F6" w:rsidRDefault="0039673B" w:rsidP="00C07BA6">
            <w:pPr>
              <w:jc w:val="right"/>
              <w:rPr>
                <w:rFonts w:cstheme="minorHAnsi"/>
                <w:color w:val="000000"/>
              </w:rPr>
            </w:pPr>
            <w:r w:rsidRPr="00DB20F6">
              <w:rPr>
                <w:color w:val="000000"/>
              </w:rPr>
              <w:t>2.263,5</w:t>
            </w:r>
          </w:p>
        </w:tc>
        <w:tc>
          <w:tcPr>
            <w:tcW w:w="844" w:type="dxa"/>
            <w:tcBorders>
              <w:top w:val="nil"/>
              <w:left w:val="nil"/>
              <w:bottom w:val="single" w:sz="4" w:space="0" w:color="auto"/>
              <w:right w:val="single" w:sz="4" w:space="0" w:color="auto"/>
            </w:tcBorders>
            <w:shd w:val="clear" w:color="auto" w:fill="FFC000"/>
            <w:noWrap/>
            <w:vAlign w:val="center"/>
            <w:hideMark/>
          </w:tcPr>
          <w:p w14:paraId="0F59DFF9" w14:textId="77777777" w:rsidR="0039673B" w:rsidRPr="00DB20F6" w:rsidRDefault="0039673B" w:rsidP="00C07BA6">
            <w:pPr>
              <w:jc w:val="right"/>
              <w:rPr>
                <w:rFonts w:cstheme="minorHAnsi"/>
                <w:b/>
                <w:bCs/>
                <w:color w:val="000000"/>
              </w:rPr>
            </w:pPr>
            <w:r w:rsidRPr="00DB20F6">
              <w:rPr>
                <w:b/>
                <w:color w:val="000000"/>
              </w:rPr>
              <w:t>-0,4 %</w:t>
            </w:r>
          </w:p>
        </w:tc>
        <w:tc>
          <w:tcPr>
            <w:tcW w:w="939" w:type="dxa"/>
            <w:tcBorders>
              <w:top w:val="nil"/>
              <w:left w:val="nil"/>
              <w:bottom w:val="single" w:sz="4" w:space="0" w:color="auto"/>
              <w:right w:val="single" w:sz="4" w:space="0" w:color="auto"/>
            </w:tcBorders>
            <w:shd w:val="clear" w:color="auto" w:fill="FFC000"/>
            <w:noWrap/>
            <w:vAlign w:val="center"/>
            <w:hideMark/>
          </w:tcPr>
          <w:p w14:paraId="05F219F8" w14:textId="77777777" w:rsidR="0039673B" w:rsidRPr="00DB20F6" w:rsidRDefault="0039673B" w:rsidP="00C07BA6">
            <w:pPr>
              <w:jc w:val="right"/>
              <w:rPr>
                <w:rFonts w:cstheme="minorHAnsi"/>
                <w:color w:val="000000"/>
              </w:rPr>
            </w:pPr>
            <w:r w:rsidRPr="00DB20F6">
              <w:rPr>
                <w:rFonts w:ascii="Calibri" w:hAnsi="Calibri"/>
                <w:b/>
                <w:color w:val="000000"/>
              </w:rPr>
              <w:t>1.171,4</w:t>
            </w:r>
          </w:p>
        </w:tc>
        <w:tc>
          <w:tcPr>
            <w:tcW w:w="709" w:type="dxa"/>
            <w:tcBorders>
              <w:top w:val="nil"/>
              <w:left w:val="nil"/>
              <w:bottom w:val="single" w:sz="4" w:space="0" w:color="auto"/>
              <w:right w:val="single" w:sz="4" w:space="0" w:color="auto"/>
            </w:tcBorders>
            <w:shd w:val="clear" w:color="auto" w:fill="FFC000"/>
            <w:noWrap/>
            <w:vAlign w:val="center"/>
            <w:hideMark/>
          </w:tcPr>
          <w:p w14:paraId="33DAEFA6" w14:textId="153229FB" w:rsidR="0039673B" w:rsidRPr="00DB20F6" w:rsidRDefault="0039673B" w:rsidP="00C07BA6">
            <w:pPr>
              <w:jc w:val="right"/>
              <w:rPr>
                <w:rFonts w:cstheme="minorHAnsi"/>
                <w:color w:val="000000"/>
              </w:rPr>
            </w:pPr>
            <w:r w:rsidRPr="00DB20F6">
              <w:rPr>
                <w:rFonts w:ascii="Calibri" w:hAnsi="Calibri"/>
                <w:b/>
                <w:color w:val="000000"/>
              </w:rPr>
              <w:t>1.106</w:t>
            </w:r>
          </w:p>
        </w:tc>
        <w:tc>
          <w:tcPr>
            <w:tcW w:w="851" w:type="dxa"/>
            <w:tcBorders>
              <w:top w:val="nil"/>
              <w:left w:val="nil"/>
              <w:bottom w:val="single" w:sz="4" w:space="0" w:color="auto"/>
              <w:right w:val="nil"/>
            </w:tcBorders>
            <w:shd w:val="clear" w:color="auto" w:fill="FFC000"/>
            <w:noWrap/>
            <w:vAlign w:val="center"/>
            <w:hideMark/>
          </w:tcPr>
          <w:p w14:paraId="712881C0" w14:textId="77777777" w:rsidR="0039673B" w:rsidRPr="00DB20F6" w:rsidRDefault="0039673B" w:rsidP="00C07BA6">
            <w:pPr>
              <w:jc w:val="right"/>
              <w:rPr>
                <w:rFonts w:cstheme="minorHAnsi"/>
                <w:color w:val="000000"/>
              </w:rPr>
            </w:pPr>
            <w:r w:rsidRPr="00DB20F6">
              <w:rPr>
                <w:rFonts w:ascii="Calibri" w:hAnsi="Calibri"/>
                <w:b/>
                <w:color w:val="000000"/>
              </w:rPr>
              <w:t>-5,6 %</w:t>
            </w:r>
          </w:p>
        </w:tc>
        <w:tc>
          <w:tcPr>
            <w:tcW w:w="1275" w:type="dxa"/>
            <w:tcBorders>
              <w:top w:val="nil"/>
              <w:left w:val="single" w:sz="12" w:space="0" w:color="auto"/>
              <w:bottom w:val="single" w:sz="4" w:space="0" w:color="auto"/>
              <w:right w:val="single" w:sz="4" w:space="0" w:color="auto"/>
            </w:tcBorders>
            <w:shd w:val="clear" w:color="auto" w:fill="FFC000"/>
            <w:noWrap/>
            <w:vAlign w:val="center"/>
            <w:hideMark/>
          </w:tcPr>
          <w:p w14:paraId="3A06A9C5" w14:textId="77777777" w:rsidR="0039673B" w:rsidRPr="00DB20F6" w:rsidRDefault="0039673B" w:rsidP="00C07BA6">
            <w:pPr>
              <w:jc w:val="right"/>
              <w:rPr>
                <w:rFonts w:cstheme="minorHAnsi"/>
                <w:color w:val="000000"/>
              </w:rPr>
            </w:pPr>
            <w:r w:rsidRPr="00DB20F6">
              <w:rPr>
                <w:color w:val="000000"/>
              </w:rPr>
              <w:t>+6,2 %</w:t>
            </w:r>
          </w:p>
        </w:tc>
        <w:tc>
          <w:tcPr>
            <w:tcW w:w="1243" w:type="dxa"/>
            <w:tcBorders>
              <w:top w:val="nil"/>
              <w:left w:val="single" w:sz="12" w:space="0" w:color="auto"/>
              <w:bottom w:val="single" w:sz="4" w:space="0" w:color="auto"/>
              <w:right w:val="single" w:sz="4" w:space="0" w:color="auto"/>
            </w:tcBorders>
            <w:shd w:val="clear" w:color="auto" w:fill="FFC000"/>
            <w:noWrap/>
            <w:vAlign w:val="center"/>
            <w:hideMark/>
          </w:tcPr>
          <w:p w14:paraId="2CABD0B2" w14:textId="77777777" w:rsidR="0039673B" w:rsidRPr="00DB20F6" w:rsidRDefault="0039673B" w:rsidP="00C07BA6">
            <w:pPr>
              <w:jc w:val="right"/>
              <w:rPr>
                <w:rFonts w:cstheme="minorHAnsi"/>
                <w:b/>
                <w:bCs/>
              </w:rPr>
            </w:pPr>
            <w:r w:rsidRPr="00DB20F6">
              <w:rPr>
                <w:b/>
              </w:rPr>
              <w:t>-11,8 %</w:t>
            </w:r>
          </w:p>
        </w:tc>
      </w:tr>
    </w:tbl>
    <w:p w14:paraId="6F666099" w14:textId="77777777" w:rsidR="0039673B" w:rsidRPr="00DB20F6" w:rsidRDefault="0039673B" w:rsidP="0039673B">
      <w:pPr>
        <w:pStyle w:val="BodyText"/>
        <w:tabs>
          <w:tab w:val="clear" w:pos="3884"/>
          <w:tab w:val="left" w:pos="567"/>
        </w:tabs>
        <w:rPr>
          <w:rFonts w:asciiTheme="minorHAnsi" w:hAnsiTheme="minorHAnsi" w:cstheme="minorHAnsi"/>
          <w:sz w:val="16"/>
          <w:szCs w:val="10"/>
        </w:rPr>
      </w:pPr>
      <w:r w:rsidRPr="00DB20F6">
        <w:rPr>
          <w:rFonts w:asciiTheme="minorHAnsi" w:hAnsiTheme="minorHAnsi"/>
          <w:sz w:val="16"/>
        </w:rPr>
        <w:t>Source : SPF Economie, déclarations TVA</w:t>
      </w:r>
    </w:p>
    <w:p w14:paraId="4594B2E3" w14:textId="77777777" w:rsidR="0039673B" w:rsidRPr="00DB20F6" w:rsidRDefault="0039673B" w:rsidP="0039673B">
      <w:pPr>
        <w:pStyle w:val="BodyText"/>
        <w:tabs>
          <w:tab w:val="clear" w:pos="3884"/>
          <w:tab w:val="left" w:pos="567"/>
        </w:tabs>
        <w:rPr>
          <w:rFonts w:asciiTheme="minorHAnsi" w:hAnsiTheme="minorHAnsi" w:cstheme="minorHAnsi"/>
          <w:sz w:val="18"/>
        </w:rPr>
      </w:pPr>
      <w:r w:rsidRPr="00DB20F6">
        <w:rPr>
          <w:rFonts w:asciiTheme="minorHAnsi" w:hAnsiTheme="minorHAnsi"/>
          <w:sz w:val="18"/>
        </w:rPr>
        <w:t>* Données provisoires</w:t>
      </w:r>
    </w:p>
    <w:p w14:paraId="24D005F2"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lastRenderedPageBreak/>
        <w:t>Au premier semestre 2023, le chiffre d'affaires de l'industrie belge de l'ameublement s'élevait à 1.106 millions d'euros, soit une baisse de 5,6 % comparativement au premier semestre 2022. Pendant la même période, les prix à la production ont cependant augmenté de 6,2 % de sorte qu'en termes réels (volume), nous observons une baisse de facto du chiffre d'affaires de 11,8 %. En 2022, la baisse du chiffre d'affaires s'élevait à 0,4 % sur une base annuelle.</w:t>
      </w:r>
    </w:p>
    <w:p w14:paraId="5B80CFE2" w14:textId="77777777" w:rsidR="0039673B" w:rsidRPr="00DB20F6" w:rsidRDefault="0039673B" w:rsidP="0039673B">
      <w:pPr>
        <w:pStyle w:val="BodyText"/>
        <w:rPr>
          <w:rFonts w:asciiTheme="minorHAnsi" w:hAnsiTheme="minorHAnsi" w:cstheme="minorHAnsi"/>
          <w:szCs w:val="22"/>
        </w:rPr>
      </w:pPr>
    </w:p>
    <w:p w14:paraId="77B3E910"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Ces augmentations de prix sont imputables en grande partie à l'augmentation des coûts des matières premières, des matériaux, de l'énergie et salariaux. </w:t>
      </w:r>
    </w:p>
    <w:p w14:paraId="4C011475" w14:textId="77777777" w:rsidR="0039673B" w:rsidRPr="00DB20F6" w:rsidRDefault="0039673B" w:rsidP="0039673B">
      <w:pPr>
        <w:pStyle w:val="BodyText"/>
        <w:rPr>
          <w:rFonts w:asciiTheme="minorHAnsi" w:hAnsiTheme="minorHAnsi" w:cstheme="minorHAnsi"/>
          <w:szCs w:val="22"/>
        </w:rPr>
      </w:pPr>
    </w:p>
    <w:p w14:paraId="607A99E7"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Après une augmentation marquante du chiffre d'affaires en 2022, les meubles de bureau et de magasin ont connu une baisse de 4,1 % au premier semestre de 2023. Le chiffre d'affaires du mobilier </w:t>
      </w:r>
      <w:r>
        <w:rPr>
          <w:rFonts w:asciiTheme="minorHAnsi" w:hAnsiTheme="minorHAnsi"/>
        </w:rPr>
        <w:t>domestique</w:t>
      </w:r>
      <w:r w:rsidRPr="00DB20F6">
        <w:rPr>
          <w:rFonts w:asciiTheme="minorHAnsi" w:hAnsiTheme="minorHAnsi"/>
        </w:rPr>
        <w:t xml:space="preserve"> a baissé de 4,7 %. Au premier semestre de 2022, on a encore observé une hausse modeste de 1,9 %. Les meubles de cuisine se sont stabilisés entre autres parce que de moins en moins de permis pour de nouvelles habitations ont été délivrés. La hausse des taux d'intérêt des prêts hypothécaires y est certainement liée. Le chiffre d'affaires chez les producteurs de matelas et de sommiers a fortement baissé. La faillite d'un producteur belge important cette année y aura certainement été pour quelque chose.</w:t>
      </w:r>
    </w:p>
    <w:p w14:paraId="5A6F251B" w14:textId="77777777" w:rsidR="0039673B" w:rsidRPr="00DB20F6" w:rsidRDefault="0039673B" w:rsidP="0039673B">
      <w:pPr>
        <w:pStyle w:val="BodyText"/>
        <w:rPr>
          <w:rFonts w:asciiTheme="minorHAnsi" w:hAnsiTheme="minorHAnsi" w:cstheme="minorHAnsi"/>
          <w:highlight w:val="yellow"/>
        </w:rPr>
      </w:pPr>
    </w:p>
    <w:p w14:paraId="74EF761D" w14:textId="77777777" w:rsidR="0039673B" w:rsidRPr="00DB20F6" w:rsidRDefault="0039673B" w:rsidP="0039673B">
      <w:pPr>
        <w:rPr>
          <w:rFonts w:cstheme="minorHAnsi"/>
          <w:sz w:val="16"/>
          <w:szCs w:val="10"/>
        </w:rPr>
      </w:pPr>
      <w:r w:rsidRPr="00DB20F6">
        <w:rPr>
          <w:noProof/>
          <w:sz w:val="16"/>
          <w:szCs w:val="10"/>
        </w:rPr>
        <w:drawing>
          <wp:inline distT="0" distB="0" distL="0" distR="0" wp14:anchorId="0F04B3BF" wp14:editId="42706507">
            <wp:extent cx="5760085" cy="2464661"/>
            <wp:effectExtent l="0" t="0" r="12065" b="12065"/>
            <wp:docPr id="3" name="Grafiek 3">
              <a:extLst xmlns:a="http://schemas.openxmlformats.org/drawingml/2006/main">
                <a:ext uri="{FF2B5EF4-FFF2-40B4-BE49-F238E27FC236}">
                  <a16:creationId xmlns:a16="http://schemas.microsoft.com/office/drawing/2014/main" id="{47FC0CF9-1876-4E1B-8F9F-3372821FE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9339A9" w14:textId="77777777" w:rsidR="0039673B" w:rsidRPr="00DB20F6" w:rsidRDefault="0039673B" w:rsidP="0039673B">
      <w:pPr>
        <w:ind w:firstLine="567"/>
        <w:rPr>
          <w:rFonts w:cstheme="minorHAnsi"/>
          <w:sz w:val="16"/>
          <w:szCs w:val="10"/>
        </w:rPr>
      </w:pPr>
      <w:r w:rsidRPr="00DB20F6">
        <w:rPr>
          <w:sz w:val="16"/>
        </w:rPr>
        <w:t>Source : SPF Economie, déclarations TVA</w:t>
      </w:r>
    </w:p>
    <w:p w14:paraId="2817DD71" w14:textId="77777777" w:rsidR="0039673B" w:rsidRPr="00DB20F6" w:rsidRDefault="0039673B" w:rsidP="0039673B">
      <w:pPr>
        <w:rPr>
          <w:rFonts w:cstheme="minorHAnsi"/>
        </w:rPr>
      </w:pPr>
      <w:r w:rsidRPr="00DB20F6">
        <w:br w:type="page"/>
      </w:r>
    </w:p>
    <w:p w14:paraId="57C500FB" w14:textId="77777777" w:rsidR="0039673B" w:rsidRPr="00DB20F6" w:rsidRDefault="0039673B" w:rsidP="0039673B">
      <w:pPr>
        <w:pStyle w:val="BodyText"/>
        <w:rPr>
          <w:rFonts w:asciiTheme="minorHAnsi" w:hAnsiTheme="minorHAnsi" w:cstheme="minorHAnsi"/>
          <w:b/>
          <w:bCs/>
          <w:u w:val="single"/>
        </w:rPr>
      </w:pPr>
      <w:r w:rsidRPr="00DB20F6">
        <w:rPr>
          <w:rFonts w:asciiTheme="minorHAnsi" w:hAnsiTheme="minorHAnsi"/>
          <w:b/>
          <w:u w:val="single"/>
        </w:rPr>
        <w:lastRenderedPageBreak/>
        <w:t>Investissements et taux d’occupation de la capacité de production</w:t>
      </w:r>
    </w:p>
    <w:p w14:paraId="3BC379CC" w14:textId="77777777" w:rsidR="0039673B" w:rsidRPr="00DB20F6" w:rsidRDefault="0039673B" w:rsidP="0039673B">
      <w:pPr>
        <w:pStyle w:val="BodyText"/>
        <w:rPr>
          <w:rFonts w:asciiTheme="minorHAnsi" w:hAnsiTheme="minorHAnsi" w:cstheme="minorHAnsi"/>
          <w:sz w:val="20"/>
        </w:rPr>
      </w:pPr>
    </w:p>
    <w:p w14:paraId="55244E11"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Au cours du premier semestre 2023, l'industrie belge de l'ameublement a investi 48,2 millions d'euros, à savoir une hausse de 30,6 % par rapport à la même période en 2022. En 2022, 86,1 millions d'euros ont été investis au total, une augmentation de 15,4 % par rapport à 2021. L'important volume d'investissement semble être le reflet de la confiance dans l'avenir retrouvée des entrepreneurs. </w:t>
      </w:r>
    </w:p>
    <w:p w14:paraId="6CD3BC89" w14:textId="77777777" w:rsidR="0039673B" w:rsidRPr="00DB20F6" w:rsidRDefault="0039673B" w:rsidP="0039673B">
      <w:pPr>
        <w:pStyle w:val="BodyText"/>
        <w:rPr>
          <w:rFonts w:asciiTheme="minorHAnsi" w:hAnsiTheme="minorHAnsi" w:cstheme="minorHAnsi"/>
        </w:rPr>
      </w:pPr>
    </w:p>
    <w:p w14:paraId="11F4D639"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Les producteurs de meubles de bureau et de magasin ainsi que les fabricants de cuisines ont fortement investi durant les 6 premiers mois de 2023. Le groupe de produits mobilier d'habitation a également connu une hausse significative des investissements. Les investissements ont fortement chuté dans le groupe de produits matelas et sommiers. </w:t>
      </w:r>
    </w:p>
    <w:p w14:paraId="78CB0552" w14:textId="77777777" w:rsidR="0039673B" w:rsidRPr="00DB20F6" w:rsidRDefault="0039673B" w:rsidP="0039673B">
      <w:pPr>
        <w:pStyle w:val="BodyText"/>
        <w:rPr>
          <w:rFonts w:asciiTheme="minorHAnsi" w:hAnsiTheme="minorHAnsi" w:cstheme="minorHAn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7"/>
        <w:gridCol w:w="851"/>
        <w:gridCol w:w="850"/>
        <w:gridCol w:w="992"/>
        <w:gridCol w:w="993"/>
        <w:gridCol w:w="1134"/>
        <w:gridCol w:w="1275"/>
      </w:tblGrid>
      <w:tr w:rsidR="0039673B" w:rsidRPr="00DB20F6" w14:paraId="2902B770" w14:textId="77777777" w:rsidTr="00C07BA6">
        <w:tc>
          <w:tcPr>
            <w:tcW w:w="9062" w:type="dxa"/>
            <w:gridSpan w:val="7"/>
            <w:shd w:val="clear" w:color="auto" w:fill="FFC000"/>
            <w:tcMar>
              <w:top w:w="15" w:type="dxa"/>
              <w:left w:w="70" w:type="dxa"/>
              <w:bottom w:w="0" w:type="dxa"/>
              <w:right w:w="70" w:type="dxa"/>
            </w:tcMar>
            <w:vAlign w:val="center"/>
            <w:hideMark/>
          </w:tcPr>
          <w:p w14:paraId="1F9818F8" w14:textId="77777777" w:rsidR="0039673B" w:rsidRPr="00DB20F6" w:rsidRDefault="0039673B" w:rsidP="00C07BA6">
            <w:pPr>
              <w:pStyle w:val="BodyText"/>
              <w:jc w:val="center"/>
              <w:rPr>
                <w:rFonts w:asciiTheme="minorHAnsi" w:hAnsiTheme="minorHAnsi" w:cstheme="minorHAnsi"/>
                <w:sz w:val="20"/>
              </w:rPr>
            </w:pPr>
            <w:bookmarkStart w:id="1" w:name="_Hlk148967022"/>
            <w:r w:rsidRPr="00DB20F6">
              <w:rPr>
                <w:rFonts w:asciiTheme="minorHAnsi" w:hAnsiTheme="minorHAnsi"/>
                <w:b/>
                <w:sz w:val="20"/>
              </w:rPr>
              <w:t>Evolution des investissements dans l’industrie de l’ameublement</w:t>
            </w:r>
          </w:p>
        </w:tc>
      </w:tr>
      <w:tr w:rsidR="0039673B" w:rsidRPr="00DB20F6" w14:paraId="18A5C1DE" w14:textId="77777777" w:rsidTr="00C07BA6">
        <w:tc>
          <w:tcPr>
            <w:tcW w:w="2967" w:type="dxa"/>
            <w:shd w:val="clear" w:color="auto" w:fill="auto"/>
            <w:tcMar>
              <w:top w:w="15" w:type="dxa"/>
              <w:left w:w="70" w:type="dxa"/>
              <w:bottom w:w="0" w:type="dxa"/>
              <w:right w:w="70" w:type="dxa"/>
            </w:tcMar>
            <w:vAlign w:val="center"/>
            <w:hideMark/>
          </w:tcPr>
          <w:p w14:paraId="68441941" w14:textId="77777777" w:rsidR="0039673B" w:rsidRPr="00DB20F6" w:rsidRDefault="0039673B" w:rsidP="00C07BA6">
            <w:pPr>
              <w:pStyle w:val="BodyText"/>
              <w:jc w:val="center"/>
              <w:rPr>
                <w:rFonts w:asciiTheme="minorHAnsi" w:hAnsiTheme="minorHAnsi" w:cstheme="minorHAnsi"/>
                <w:b/>
                <w:sz w:val="20"/>
              </w:rPr>
            </w:pPr>
            <w:r w:rsidRPr="00DB20F6">
              <w:rPr>
                <w:rFonts w:asciiTheme="minorHAnsi" w:hAnsiTheme="minorHAnsi"/>
                <w:b/>
                <w:sz w:val="20"/>
              </w:rPr>
              <w:t>En millions d'euros</w:t>
            </w:r>
          </w:p>
        </w:tc>
        <w:tc>
          <w:tcPr>
            <w:tcW w:w="851" w:type="dxa"/>
            <w:shd w:val="clear" w:color="auto" w:fill="auto"/>
            <w:tcMar>
              <w:top w:w="15" w:type="dxa"/>
              <w:left w:w="70" w:type="dxa"/>
              <w:bottom w:w="0" w:type="dxa"/>
              <w:right w:w="70" w:type="dxa"/>
            </w:tcMar>
            <w:vAlign w:val="center"/>
            <w:hideMark/>
          </w:tcPr>
          <w:p w14:paraId="1789BD17"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2021</w:t>
            </w:r>
          </w:p>
        </w:tc>
        <w:tc>
          <w:tcPr>
            <w:tcW w:w="850" w:type="dxa"/>
            <w:shd w:val="clear" w:color="auto" w:fill="auto"/>
            <w:tcMar>
              <w:top w:w="15" w:type="dxa"/>
              <w:left w:w="70" w:type="dxa"/>
              <w:bottom w:w="0" w:type="dxa"/>
              <w:right w:w="70" w:type="dxa"/>
            </w:tcMar>
            <w:vAlign w:val="center"/>
            <w:hideMark/>
          </w:tcPr>
          <w:p w14:paraId="1A27D31B"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2022</w:t>
            </w:r>
          </w:p>
        </w:tc>
        <w:tc>
          <w:tcPr>
            <w:tcW w:w="992" w:type="dxa"/>
            <w:shd w:val="clear" w:color="auto" w:fill="auto"/>
            <w:tcMar>
              <w:top w:w="15" w:type="dxa"/>
              <w:left w:w="70" w:type="dxa"/>
              <w:bottom w:w="0" w:type="dxa"/>
              <w:right w:w="70" w:type="dxa"/>
            </w:tcMar>
            <w:vAlign w:val="center"/>
            <w:hideMark/>
          </w:tcPr>
          <w:p w14:paraId="04DA6BAF"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22/21</w:t>
            </w:r>
          </w:p>
        </w:tc>
        <w:tc>
          <w:tcPr>
            <w:tcW w:w="993" w:type="dxa"/>
            <w:shd w:val="clear" w:color="auto" w:fill="auto"/>
            <w:tcMar>
              <w:top w:w="15" w:type="dxa"/>
              <w:left w:w="70" w:type="dxa"/>
              <w:bottom w:w="0" w:type="dxa"/>
              <w:right w:w="70" w:type="dxa"/>
            </w:tcMar>
            <w:vAlign w:val="center"/>
            <w:hideMark/>
          </w:tcPr>
          <w:p w14:paraId="4A61C6E1"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6 m 22</w:t>
            </w:r>
          </w:p>
        </w:tc>
        <w:tc>
          <w:tcPr>
            <w:tcW w:w="1134" w:type="dxa"/>
            <w:shd w:val="clear" w:color="auto" w:fill="auto"/>
            <w:tcMar>
              <w:top w:w="15" w:type="dxa"/>
              <w:left w:w="70" w:type="dxa"/>
              <w:bottom w:w="0" w:type="dxa"/>
              <w:right w:w="70" w:type="dxa"/>
            </w:tcMar>
            <w:vAlign w:val="center"/>
            <w:hideMark/>
          </w:tcPr>
          <w:p w14:paraId="24178952"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6 m 23*</w:t>
            </w:r>
          </w:p>
        </w:tc>
        <w:tc>
          <w:tcPr>
            <w:tcW w:w="1275" w:type="dxa"/>
            <w:shd w:val="clear" w:color="auto" w:fill="auto"/>
            <w:tcMar>
              <w:top w:w="15" w:type="dxa"/>
              <w:left w:w="70" w:type="dxa"/>
              <w:bottom w:w="0" w:type="dxa"/>
              <w:right w:w="70" w:type="dxa"/>
            </w:tcMar>
            <w:vAlign w:val="center"/>
            <w:hideMark/>
          </w:tcPr>
          <w:p w14:paraId="35FBD1A0"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6 m 23/22*</w:t>
            </w:r>
          </w:p>
        </w:tc>
      </w:tr>
      <w:tr w:rsidR="0039673B" w:rsidRPr="00DB20F6" w14:paraId="6FC5C5A2" w14:textId="77777777" w:rsidTr="00C07BA6">
        <w:tc>
          <w:tcPr>
            <w:tcW w:w="2967" w:type="dxa"/>
            <w:shd w:val="clear" w:color="auto" w:fill="auto"/>
            <w:tcMar>
              <w:top w:w="15" w:type="dxa"/>
              <w:left w:w="70" w:type="dxa"/>
              <w:bottom w:w="0" w:type="dxa"/>
              <w:right w:w="70" w:type="dxa"/>
            </w:tcMar>
            <w:vAlign w:val="center"/>
            <w:hideMark/>
          </w:tcPr>
          <w:p w14:paraId="2A0B13DA" w14:textId="77777777" w:rsidR="0039673B" w:rsidRPr="00DB20F6" w:rsidRDefault="0039673B" w:rsidP="00C07BA6">
            <w:pPr>
              <w:pStyle w:val="BodyText"/>
              <w:jc w:val="left"/>
              <w:rPr>
                <w:rFonts w:asciiTheme="minorHAnsi" w:hAnsiTheme="minorHAnsi" w:cstheme="minorHAnsi"/>
                <w:sz w:val="20"/>
              </w:rPr>
            </w:pPr>
            <w:r w:rsidRPr="00DB20F6">
              <w:rPr>
                <w:rFonts w:asciiTheme="minorHAnsi" w:hAnsiTheme="minorHAnsi"/>
                <w:sz w:val="20"/>
              </w:rPr>
              <w:t>Chaises et sièges, meubles de salle à manger, de chambre à coucher, de jardin et terrasse</w:t>
            </w:r>
          </w:p>
        </w:tc>
        <w:tc>
          <w:tcPr>
            <w:tcW w:w="851" w:type="dxa"/>
            <w:shd w:val="clear" w:color="auto" w:fill="auto"/>
            <w:tcMar>
              <w:top w:w="15" w:type="dxa"/>
              <w:left w:w="70" w:type="dxa"/>
              <w:bottom w:w="0" w:type="dxa"/>
              <w:right w:w="70" w:type="dxa"/>
            </w:tcMar>
            <w:vAlign w:val="center"/>
          </w:tcPr>
          <w:p w14:paraId="06056080"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40,0</w:t>
            </w:r>
          </w:p>
        </w:tc>
        <w:tc>
          <w:tcPr>
            <w:tcW w:w="850" w:type="dxa"/>
            <w:shd w:val="clear" w:color="auto" w:fill="auto"/>
            <w:tcMar>
              <w:top w:w="15" w:type="dxa"/>
              <w:left w:w="70" w:type="dxa"/>
              <w:bottom w:w="0" w:type="dxa"/>
              <w:right w:w="70" w:type="dxa"/>
            </w:tcMar>
            <w:vAlign w:val="center"/>
          </w:tcPr>
          <w:p w14:paraId="1753BADC"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43,9</w:t>
            </w:r>
          </w:p>
        </w:tc>
        <w:tc>
          <w:tcPr>
            <w:tcW w:w="992" w:type="dxa"/>
            <w:shd w:val="clear" w:color="auto" w:fill="auto"/>
            <w:tcMar>
              <w:top w:w="15" w:type="dxa"/>
              <w:left w:w="70" w:type="dxa"/>
              <w:bottom w:w="0" w:type="dxa"/>
              <w:right w:w="70" w:type="dxa"/>
            </w:tcMar>
            <w:vAlign w:val="center"/>
            <w:hideMark/>
          </w:tcPr>
          <w:p w14:paraId="023451C8"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+9,8 %</w:t>
            </w:r>
          </w:p>
        </w:tc>
        <w:tc>
          <w:tcPr>
            <w:tcW w:w="993" w:type="dxa"/>
            <w:shd w:val="clear" w:color="auto" w:fill="auto"/>
            <w:tcMar>
              <w:top w:w="15" w:type="dxa"/>
              <w:left w:w="70" w:type="dxa"/>
              <w:bottom w:w="0" w:type="dxa"/>
              <w:right w:w="70" w:type="dxa"/>
            </w:tcMar>
            <w:vAlign w:val="center"/>
          </w:tcPr>
          <w:p w14:paraId="2C32208D"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19,0</w:t>
            </w:r>
          </w:p>
        </w:tc>
        <w:tc>
          <w:tcPr>
            <w:tcW w:w="1134" w:type="dxa"/>
            <w:shd w:val="clear" w:color="auto" w:fill="auto"/>
            <w:tcMar>
              <w:top w:w="15" w:type="dxa"/>
              <w:left w:w="70" w:type="dxa"/>
              <w:bottom w:w="0" w:type="dxa"/>
              <w:right w:w="70" w:type="dxa"/>
            </w:tcMar>
            <w:vAlign w:val="center"/>
          </w:tcPr>
          <w:p w14:paraId="1A17923A"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24,0</w:t>
            </w:r>
          </w:p>
        </w:tc>
        <w:tc>
          <w:tcPr>
            <w:tcW w:w="1275" w:type="dxa"/>
            <w:shd w:val="clear" w:color="auto" w:fill="auto"/>
            <w:tcMar>
              <w:top w:w="15" w:type="dxa"/>
              <w:left w:w="70" w:type="dxa"/>
              <w:bottom w:w="0" w:type="dxa"/>
              <w:right w:w="70" w:type="dxa"/>
            </w:tcMar>
            <w:vAlign w:val="center"/>
            <w:hideMark/>
          </w:tcPr>
          <w:p w14:paraId="15516CC0"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+26,3 %</w:t>
            </w:r>
          </w:p>
        </w:tc>
      </w:tr>
      <w:tr w:rsidR="0039673B" w:rsidRPr="00DB20F6" w14:paraId="640203C7" w14:textId="77777777" w:rsidTr="00C07BA6">
        <w:tc>
          <w:tcPr>
            <w:tcW w:w="2967" w:type="dxa"/>
            <w:shd w:val="clear" w:color="auto" w:fill="auto"/>
            <w:tcMar>
              <w:top w:w="15" w:type="dxa"/>
              <w:left w:w="70" w:type="dxa"/>
              <w:bottom w:w="0" w:type="dxa"/>
              <w:right w:w="70" w:type="dxa"/>
            </w:tcMar>
            <w:vAlign w:val="center"/>
            <w:hideMark/>
          </w:tcPr>
          <w:p w14:paraId="113BC76C" w14:textId="77777777" w:rsidR="0039673B" w:rsidRPr="00DB20F6" w:rsidRDefault="0039673B" w:rsidP="00C07BA6">
            <w:pPr>
              <w:pStyle w:val="BodyText"/>
              <w:rPr>
                <w:rFonts w:asciiTheme="minorHAnsi" w:hAnsiTheme="minorHAnsi" w:cstheme="minorHAnsi"/>
                <w:sz w:val="20"/>
              </w:rPr>
            </w:pPr>
            <w:r w:rsidRPr="00DB20F6">
              <w:rPr>
                <w:rFonts w:asciiTheme="minorHAnsi" w:hAnsiTheme="minorHAnsi"/>
                <w:sz w:val="20"/>
              </w:rPr>
              <w:t>Meubles de bureau et de magasin</w:t>
            </w:r>
          </w:p>
        </w:tc>
        <w:tc>
          <w:tcPr>
            <w:tcW w:w="851" w:type="dxa"/>
            <w:shd w:val="clear" w:color="auto" w:fill="auto"/>
            <w:tcMar>
              <w:top w:w="15" w:type="dxa"/>
              <w:left w:w="70" w:type="dxa"/>
              <w:bottom w:w="0" w:type="dxa"/>
              <w:right w:w="70" w:type="dxa"/>
            </w:tcMar>
            <w:vAlign w:val="center"/>
          </w:tcPr>
          <w:p w14:paraId="3D5E3F8B"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10,2</w:t>
            </w:r>
          </w:p>
        </w:tc>
        <w:tc>
          <w:tcPr>
            <w:tcW w:w="850" w:type="dxa"/>
            <w:shd w:val="clear" w:color="auto" w:fill="auto"/>
            <w:tcMar>
              <w:top w:w="15" w:type="dxa"/>
              <w:left w:w="70" w:type="dxa"/>
              <w:bottom w:w="0" w:type="dxa"/>
              <w:right w:w="70" w:type="dxa"/>
            </w:tcMar>
            <w:vAlign w:val="center"/>
          </w:tcPr>
          <w:p w14:paraId="63B89202"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12,0</w:t>
            </w:r>
          </w:p>
        </w:tc>
        <w:tc>
          <w:tcPr>
            <w:tcW w:w="992" w:type="dxa"/>
            <w:shd w:val="clear" w:color="auto" w:fill="auto"/>
            <w:tcMar>
              <w:top w:w="15" w:type="dxa"/>
              <w:left w:w="70" w:type="dxa"/>
              <w:bottom w:w="0" w:type="dxa"/>
              <w:right w:w="70" w:type="dxa"/>
            </w:tcMar>
            <w:vAlign w:val="center"/>
            <w:hideMark/>
          </w:tcPr>
          <w:p w14:paraId="3AC640C0"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+17,6 %</w:t>
            </w:r>
          </w:p>
        </w:tc>
        <w:tc>
          <w:tcPr>
            <w:tcW w:w="993" w:type="dxa"/>
            <w:shd w:val="clear" w:color="auto" w:fill="auto"/>
            <w:tcMar>
              <w:top w:w="15" w:type="dxa"/>
              <w:left w:w="70" w:type="dxa"/>
              <w:bottom w:w="0" w:type="dxa"/>
              <w:right w:w="70" w:type="dxa"/>
            </w:tcMar>
            <w:vAlign w:val="center"/>
          </w:tcPr>
          <w:p w14:paraId="62AEE069"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5,4</w:t>
            </w:r>
          </w:p>
        </w:tc>
        <w:tc>
          <w:tcPr>
            <w:tcW w:w="1134" w:type="dxa"/>
            <w:shd w:val="clear" w:color="auto" w:fill="auto"/>
            <w:tcMar>
              <w:top w:w="15" w:type="dxa"/>
              <w:left w:w="70" w:type="dxa"/>
              <w:bottom w:w="0" w:type="dxa"/>
              <w:right w:w="70" w:type="dxa"/>
            </w:tcMar>
            <w:vAlign w:val="center"/>
          </w:tcPr>
          <w:p w14:paraId="69E4141A"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10,1</w:t>
            </w:r>
          </w:p>
        </w:tc>
        <w:tc>
          <w:tcPr>
            <w:tcW w:w="1275" w:type="dxa"/>
            <w:shd w:val="clear" w:color="auto" w:fill="auto"/>
            <w:tcMar>
              <w:top w:w="15" w:type="dxa"/>
              <w:left w:w="70" w:type="dxa"/>
              <w:bottom w:w="0" w:type="dxa"/>
              <w:right w:w="70" w:type="dxa"/>
            </w:tcMar>
            <w:vAlign w:val="center"/>
            <w:hideMark/>
          </w:tcPr>
          <w:p w14:paraId="6DE4223A"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+87,0 %</w:t>
            </w:r>
          </w:p>
        </w:tc>
      </w:tr>
      <w:tr w:rsidR="0039673B" w:rsidRPr="00DB20F6" w14:paraId="38F2D4AA" w14:textId="77777777" w:rsidTr="00C07BA6">
        <w:tc>
          <w:tcPr>
            <w:tcW w:w="2967" w:type="dxa"/>
            <w:shd w:val="clear" w:color="auto" w:fill="auto"/>
            <w:tcMar>
              <w:top w:w="15" w:type="dxa"/>
              <w:left w:w="70" w:type="dxa"/>
              <w:bottom w:w="0" w:type="dxa"/>
              <w:right w:w="70" w:type="dxa"/>
            </w:tcMar>
            <w:vAlign w:val="center"/>
            <w:hideMark/>
          </w:tcPr>
          <w:p w14:paraId="3C57DB1C" w14:textId="77777777" w:rsidR="0039673B" w:rsidRPr="00DB20F6" w:rsidRDefault="0039673B" w:rsidP="00C07BA6">
            <w:pPr>
              <w:pStyle w:val="BodyText"/>
              <w:rPr>
                <w:rFonts w:asciiTheme="minorHAnsi" w:hAnsiTheme="minorHAnsi" w:cstheme="minorHAnsi"/>
                <w:sz w:val="20"/>
              </w:rPr>
            </w:pPr>
            <w:r w:rsidRPr="00DB20F6">
              <w:rPr>
                <w:rFonts w:asciiTheme="minorHAnsi" w:hAnsiTheme="minorHAnsi"/>
                <w:sz w:val="20"/>
              </w:rPr>
              <w:t>Meubles de cuisine</w:t>
            </w:r>
          </w:p>
        </w:tc>
        <w:tc>
          <w:tcPr>
            <w:tcW w:w="851" w:type="dxa"/>
            <w:shd w:val="clear" w:color="auto" w:fill="auto"/>
            <w:tcMar>
              <w:top w:w="15" w:type="dxa"/>
              <w:left w:w="70" w:type="dxa"/>
              <w:bottom w:w="0" w:type="dxa"/>
              <w:right w:w="70" w:type="dxa"/>
            </w:tcMar>
            <w:vAlign w:val="center"/>
          </w:tcPr>
          <w:p w14:paraId="117D97A4"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17,5</w:t>
            </w:r>
          </w:p>
        </w:tc>
        <w:tc>
          <w:tcPr>
            <w:tcW w:w="850" w:type="dxa"/>
            <w:shd w:val="clear" w:color="auto" w:fill="auto"/>
            <w:tcMar>
              <w:top w:w="15" w:type="dxa"/>
              <w:left w:w="70" w:type="dxa"/>
              <w:bottom w:w="0" w:type="dxa"/>
              <w:right w:w="70" w:type="dxa"/>
            </w:tcMar>
            <w:vAlign w:val="center"/>
          </w:tcPr>
          <w:p w14:paraId="1A2F3995"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23,3</w:t>
            </w:r>
          </w:p>
        </w:tc>
        <w:tc>
          <w:tcPr>
            <w:tcW w:w="992" w:type="dxa"/>
            <w:shd w:val="clear" w:color="auto" w:fill="auto"/>
            <w:tcMar>
              <w:top w:w="15" w:type="dxa"/>
              <w:left w:w="70" w:type="dxa"/>
              <w:bottom w:w="0" w:type="dxa"/>
              <w:right w:w="70" w:type="dxa"/>
            </w:tcMar>
            <w:vAlign w:val="center"/>
            <w:hideMark/>
          </w:tcPr>
          <w:p w14:paraId="20C0DC27"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+33,1 %</w:t>
            </w:r>
          </w:p>
        </w:tc>
        <w:tc>
          <w:tcPr>
            <w:tcW w:w="993" w:type="dxa"/>
            <w:shd w:val="clear" w:color="auto" w:fill="auto"/>
            <w:tcMar>
              <w:top w:w="15" w:type="dxa"/>
              <w:left w:w="70" w:type="dxa"/>
              <w:bottom w:w="0" w:type="dxa"/>
              <w:right w:w="70" w:type="dxa"/>
            </w:tcMar>
            <w:vAlign w:val="center"/>
          </w:tcPr>
          <w:p w14:paraId="21CA8189"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7,8</w:t>
            </w:r>
          </w:p>
        </w:tc>
        <w:tc>
          <w:tcPr>
            <w:tcW w:w="1134" w:type="dxa"/>
            <w:shd w:val="clear" w:color="auto" w:fill="auto"/>
            <w:tcMar>
              <w:top w:w="15" w:type="dxa"/>
              <w:left w:w="70" w:type="dxa"/>
              <w:bottom w:w="0" w:type="dxa"/>
              <w:right w:w="70" w:type="dxa"/>
            </w:tcMar>
            <w:vAlign w:val="center"/>
          </w:tcPr>
          <w:p w14:paraId="70D8358A"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13,2</w:t>
            </w:r>
          </w:p>
        </w:tc>
        <w:tc>
          <w:tcPr>
            <w:tcW w:w="1275" w:type="dxa"/>
            <w:shd w:val="clear" w:color="auto" w:fill="auto"/>
            <w:tcMar>
              <w:top w:w="15" w:type="dxa"/>
              <w:left w:w="70" w:type="dxa"/>
              <w:bottom w:w="0" w:type="dxa"/>
              <w:right w:w="70" w:type="dxa"/>
            </w:tcMar>
            <w:vAlign w:val="center"/>
            <w:hideMark/>
          </w:tcPr>
          <w:p w14:paraId="318AE7FE"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+69,2 %</w:t>
            </w:r>
          </w:p>
        </w:tc>
      </w:tr>
      <w:tr w:rsidR="0039673B" w:rsidRPr="00DB20F6" w14:paraId="2A7DC0D3" w14:textId="77777777" w:rsidTr="00C07BA6">
        <w:tc>
          <w:tcPr>
            <w:tcW w:w="2967" w:type="dxa"/>
            <w:shd w:val="clear" w:color="auto" w:fill="auto"/>
            <w:tcMar>
              <w:top w:w="15" w:type="dxa"/>
              <w:left w:w="70" w:type="dxa"/>
              <w:bottom w:w="0" w:type="dxa"/>
              <w:right w:w="70" w:type="dxa"/>
            </w:tcMar>
            <w:vAlign w:val="center"/>
            <w:hideMark/>
          </w:tcPr>
          <w:p w14:paraId="56D54BFB" w14:textId="77777777" w:rsidR="0039673B" w:rsidRPr="00DB20F6" w:rsidRDefault="0039673B" w:rsidP="00C07BA6">
            <w:pPr>
              <w:pStyle w:val="BodyText"/>
              <w:rPr>
                <w:rFonts w:asciiTheme="minorHAnsi" w:hAnsiTheme="minorHAnsi" w:cstheme="minorHAnsi"/>
                <w:sz w:val="20"/>
              </w:rPr>
            </w:pPr>
            <w:r w:rsidRPr="00DB20F6">
              <w:rPr>
                <w:rFonts w:asciiTheme="minorHAnsi" w:hAnsiTheme="minorHAnsi"/>
                <w:sz w:val="20"/>
              </w:rPr>
              <w:t>Matelas et sommiers</w:t>
            </w:r>
          </w:p>
        </w:tc>
        <w:tc>
          <w:tcPr>
            <w:tcW w:w="851" w:type="dxa"/>
            <w:shd w:val="clear" w:color="auto" w:fill="auto"/>
            <w:tcMar>
              <w:top w:w="15" w:type="dxa"/>
              <w:left w:w="70" w:type="dxa"/>
              <w:bottom w:w="0" w:type="dxa"/>
              <w:right w:w="70" w:type="dxa"/>
            </w:tcMar>
            <w:vAlign w:val="center"/>
          </w:tcPr>
          <w:p w14:paraId="4FD0CE4C"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6,8</w:t>
            </w:r>
          </w:p>
        </w:tc>
        <w:tc>
          <w:tcPr>
            <w:tcW w:w="850" w:type="dxa"/>
            <w:shd w:val="clear" w:color="auto" w:fill="auto"/>
            <w:tcMar>
              <w:top w:w="15" w:type="dxa"/>
              <w:left w:w="70" w:type="dxa"/>
              <w:bottom w:w="0" w:type="dxa"/>
              <w:right w:w="70" w:type="dxa"/>
            </w:tcMar>
            <w:vAlign w:val="center"/>
          </w:tcPr>
          <w:p w14:paraId="18872BF4"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6,9</w:t>
            </w:r>
          </w:p>
        </w:tc>
        <w:tc>
          <w:tcPr>
            <w:tcW w:w="992" w:type="dxa"/>
            <w:shd w:val="clear" w:color="auto" w:fill="auto"/>
            <w:tcMar>
              <w:top w:w="15" w:type="dxa"/>
              <w:left w:w="70" w:type="dxa"/>
              <w:bottom w:w="0" w:type="dxa"/>
              <w:right w:w="70" w:type="dxa"/>
            </w:tcMar>
            <w:vAlign w:val="center"/>
            <w:hideMark/>
          </w:tcPr>
          <w:p w14:paraId="14ADEA2A"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+1,5 %</w:t>
            </w:r>
          </w:p>
        </w:tc>
        <w:tc>
          <w:tcPr>
            <w:tcW w:w="993" w:type="dxa"/>
            <w:shd w:val="clear" w:color="auto" w:fill="auto"/>
            <w:tcMar>
              <w:top w:w="15" w:type="dxa"/>
              <w:left w:w="70" w:type="dxa"/>
              <w:bottom w:w="0" w:type="dxa"/>
              <w:right w:w="70" w:type="dxa"/>
            </w:tcMar>
            <w:vAlign w:val="center"/>
          </w:tcPr>
          <w:p w14:paraId="6EFCFB69"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4,8</w:t>
            </w:r>
          </w:p>
        </w:tc>
        <w:tc>
          <w:tcPr>
            <w:tcW w:w="1134" w:type="dxa"/>
            <w:shd w:val="clear" w:color="auto" w:fill="auto"/>
            <w:tcMar>
              <w:top w:w="15" w:type="dxa"/>
              <w:left w:w="70" w:type="dxa"/>
              <w:bottom w:w="0" w:type="dxa"/>
              <w:right w:w="70" w:type="dxa"/>
            </w:tcMar>
            <w:vAlign w:val="center"/>
          </w:tcPr>
          <w:p w14:paraId="7A45E726" w14:textId="77777777" w:rsidR="0039673B" w:rsidRPr="00DB20F6" w:rsidRDefault="0039673B" w:rsidP="00C07BA6">
            <w:pPr>
              <w:pStyle w:val="BodyText"/>
              <w:jc w:val="right"/>
              <w:rPr>
                <w:rFonts w:asciiTheme="minorHAnsi" w:hAnsiTheme="minorHAnsi" w:cstheme="minorBidi"/>
                <w:sz w:val="20"/>
              </w:rPr>
            </w:pPr>
            <w:r w:rsidRPr="00DB20F6">
              <w:rPr>
                <w:rFonts w:asciiTheme="minorHAnsi" w:hAnsiTheme="minorHAnsi"/>
                <w:sz w:val="20"/>
              </w:rPr>
              <w:t>1,0</w:t>
            </w:r>
          </w:p>
        </w:tc>
        <w:tc>
          <w:tcPr>
            <w:tcW w:w="1275" w:type="dxa"/>
            <w:shd w:val="clear" w:color="auto" w:fill="auto"/>
            <w:tcMar>
              <w:top w:w="15" w:type="dxa"/>
              <w:left w:w="70" w:type="dxa"/>
              <w:bottom w:w="0" w:type="dxa"/>
              <w:right w:w="70" w:type="dxa"/>
            </w:tcMar>
            <w:vAlign w:val="center"/>
            <w:hideMark/>
          </w:tcPr>
          <w:p w14:paraId="66C18E52"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-79,2 %</w:t>
            </w:r>
          </w:p>
        </w:tc>
      </w:tr>
      <w:tr w:rsidR="0039673B" w:rsidRPr="00DB20F6" w14:paraId="49561F69" w14:textId="77777777" w:rsidTr="00C07BA6">
        <w:tc>
          <w:tcPr>
            <w:tcW w:w="2967" w:type="dxa"/>
            <w:shd w:val="clear" w:color="auto" w:fill="FFC000"/>
            <w:tcMar>
              <w:top w:w="15" w:type="dxa"/>
              <w:left w:w="70" w:type="dxa"/>
              <w:bottom w:w="0" w:type="dxa"/>
              <w:right w:w="70" w:type="dxa"/>
            </w:tcMar>
            <w:vAlign w:val="center"/>
            <w:hideMark/>
          </w:tcPr>
          <w:p w14:paraId="355B1ABF" w14:textId="77777777" w:rsidR="0039673B" w:rsidRPr="00DB20F6" w:rsidRDefault="0039673B" w:rsidP="00C07BA6">
            <w:pPr>
              <w:pStyle w:val="BodyText"/>
              <w:rPr>
                <w:rFonts w:asciiTheme="minorHAnsi" w:hAnsiTheme="minorHAnsi" w:cstheme="minorHAnsi"/>
                <w:b/>
                <w:sz w:val="20"/>
              </w:rPr>
            </w:pPr>
            <w:r w:rsidRPr="00DB20F6">
              <w:rPr>
                <w:rFonts w:asciiTheme="minorHAnsi" w:hAnsiTheme="minorHAnsi"/>
                <w:b/>
                <w:sz w:val="20"/>
              </w:rPr>
              <w:t xml:space="preserve">Total pour l'industrie de l’ameublement </w:t>
            </w:r>
          </w:p>
        </w:tc>
        <w:tc>
          <w:tcPr>
            <w:tcW w:w="851" w:type="dxa"/>
            <w:shd w:val="clear" w:color="auto" w:fill="FFC000"/>
            <w:tcMar>
              <w:top w:w="15" w:type="dxa"/>
              <w:left w:w="70" w:type="dxa"/>
              <w:bottom w:w="0" w:type="dxa"/>
              <w:right w:w="70" w:type="dxa"/>
            </w:tcMar>
            <w:vAlign w:val="center"/>
          </w:tcPr>
          <w:p w14:paraId="031DDECB"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74,6</w:t>
            </w:r>
          </w:p>
        </w:tc>
        <w:tc>
          <w:tcPr>
            <w:tcW w:w="850" w:type="dxa"/>
            <w:shd w:val="clear" w:color="auto" w:fill="FFC000"/>
            <w:tcMar>
              <w:top w:w="15" w:type="dxa"/>
              <w:left w:w="70" w:type="dxa"/>
              <w:bottom w:w="0" w:type="dxa"/>
              <w:right w:w="70" w:type="dxa"/>
            </w:tcMar>
            <w:vAlign w:val="center"/>
          </w:tcPr>
          <w:p w14:paraId="2BF8B736"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86,1</w:t>
            </w:r>
          </w:p>
        </w:tc>
        <w:tc>
          <w:tcPr>
            <w:tcW w:w="992" w:type="dxa"/>
            <w:shd w:val="clear" w:color="auto" w:fill="FFC000"/>
            <w:tcMar>
              <w:top w:w="15" w:type="dxa"/>
              <w:left w:w="70" w:type="dxa"/>
              <w:bottom w:w="0" w:type="dxa"/>
              <w:right w:w="70" w:type="dxa"/>
            </w:tcMar>
            <w:vAlign w:val="center"/>
            <w:hideMark/>
          </w:tcPr>
          <w:p w14:paraId="7F996590"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+15,4</w:t>
            </w:r>
          </w:p>
        </w:tc>
        <w:tc>
          <w:tcPr>
            <w:tcW w:w="993" w:type="dxa"/>
            <w:shd w:val="clear" w:color="auto" w:fill="FFC000"/>
            <w:tcMar>
              <w:top w:w="15" w:type="dxa"/>
              <w:left w:w="70" w:type="dxa"/>
              <w:bottom w:w="0" w:type="dxa"/>
              <w:right w:w="70" w:type="dxa"/>
            </w:tcMar>
            <w:vAlign w:val="center"/>
          </w:tcPr>
          <w:p w14:paraId="3ADA3914"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36,9</w:t>
            </w:r>
          </w:p>
        </w:tc>
        <w:tc>
          <w:tcPr>
            <w:tcW w:w="1134" w:type="dxa"/>
            <w:shd w:val="clear" w:color="auto" w:fill="FFC000"/>
            <w:tcMar>
              <w:top w:w="15" w:type="dxa"/>
              <w:left w:w="70" w:type="dxa"/>
              <w:bottom w:w="0" w:type="dxa"/>
              <w:right w:w="70" w:type="dxa"/>
            </w:tcMar>
            <w:vAlign w:val="center"/>
          </w:tcPr>
          <w:p w14:paraId="60CC802B"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48,2</w:t>
            </w:r>
          </w:p>
        </w:tc>
        <w:tc>
          <w:tcPr>
            <w:tcW w:w="1275" w:type="dxa"/>
            <w:shd w:val="clear" w:color="auto" w:fill="FFC000"/>
            <w:tcMar>
              <w:top w:w="15" w:type="dxa"/>
              <w:left w:w="70" w:type="dxa"/>
              <w:bottom w:w="0" w:type="dxa"/>
              <w:right w:w="70" w:type="dxa"/>
            </w:tcMar>
            <w:vAlign w:val="center"/>
            <w:hideMark/>
          </w:tcPr>
          <w:p w14:paraId="205DCB8A" w14:textId="77777777" w:rsidR="0039673B" w:rsidRPr="00DB20F6" w:rsidRDefault="0039673B" w:rsidP="00C07BA6">
            <w:pPr>
              <w:pStyle w:val="BodyText"/>
              <w:jc w:val="right"/>
              <w:rPr>
                <w:rFonts w:asciiTheme="minorHAnsi" w:hAnsiTheme="minorHAnsi" w:cstheme="minorBidi"/>
                <w:b/>
                <w:bCs/>
                <w:sz w:val="20"/>
              </w:rPr>
            </w:pPr>
            <w:r w:rsidRPr="00DB20F6">
              <w:rPr>
                <w:rFonts w:asciiTheme="minorHAnsi" w:hAnsiTheme="minorHAnsi"/>
                <w:b/>
                <w:sz w:val="20"/>
              </w:rPr>
              <w:t>+30,6 %</w:t>
            </w:r>
          </w:p>
        </w:tc>
      </w:tr>
    </w:tbl>
    <w:bookmarkEnd w:id="1"/>
    <w:p w14:paraId="07FFD46B" w14:textId="77777777" w:rsidR="0039673B" w:rsidRPr="00DB20F6" w:rsidRDefault="0039673B" w:rsidP="0039673B">
      <w:pPr>
        <w:pStyle w:val="BodyText"/>
        <w:tabs>
          <w:tab w:val="clear" w:pos="3884"/>
          <w:tab w:val="left" w:pos="567"/>
        </w:tabs>
        <w:rPr>
          <w:rFonts w:asciiTheme="minorHAnsi" w:hAnsiTheme="minorHAnsi" w:cstheme="minorHAnsi"/>
          <w:sz w:val="16"/>
          <w:szCs w:val="16"/>
        </w:rPr>
      </w:pPr>
      <w:r w:rsidRPr="00DB20F6">
        <w:rPr>
          <w:rFonts w:asciiTheme="minorHAnsi" w:hAnsiTheme="minorHAnsi"/>
          <w:sz w:val="16"/>
        </w:rPr>
        <w:t xml:space="preserve">Source : SPF Economie, déclarations TVA </w:t>
      </w:r>
    </w:p>
    <w:p w14:paraId="7C84B51B" w14:textId="77777777" w:rsidR="0039673B" w:rsidRPr="00DB20F6" w:rsidRDefault="0039673B" w:rsidP="0039673B">
      <w:pPr>
        <w:pStyle w:val="BodyText"/>
        <w:tabs>
          <w:tab w:val="clear" w:pos="3884"/>
          <w:tab w:val="left" w:pos="567"/>
        </w:tabs>
        <w:rPr>
          <w:rFonts w:asciiTheme="minorHAnsi" w:hAnsiTheme="minorHAnsi" w:cstheme="minorHAnsi"/>
          <w:sz w:val="18"/>
          <w:szCs w:val="18"/>
        </w:rPr>
      </w:pPr>
      <w:r w:rsidRPr="00DB20F6">
        <w:rPr>
          <w:rFonts w:asciiTheme="minorHAnsi" w:hAnsiTheme="minorHAnsi"/>
          <w:sz w:val="18"/>
        </w:rPr>
        <w:t>* Données provisoires</w:t>
      </w:r>
    </w:p>
    <w:p w14:paraId="0A24BB68" w14:textId="77777777" w:rsidR="0039673B" w:rsidRPr="00DB20F6" w:rsidRDefault="0039673B" w:rsidP="0039673B">
      <w:pPr>
        <w:pStyle w:val="BodyText"/>
        <w:tabs>
          <w:tab w:val="clear" w:pos="3884"/>
          <w:tab w:val="left" w:pos="567"/>
        </w:tabs>
        <w:rPr>
          <w:rFonts w:asciiTheme="minorHAnsi" w:hAnsiTheme="minorHAnsi" w:cstheme="minorHAnsi"/>
          <w:sz w:val="18"/>
          <w:szCs w:val="18"/>
        </w:rPr>
      </w:pPr>
    </w:p>
    <w:p w14:paraId="3E363C27"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Le taux d'occupation de la capacité de production dans l'industrie belge de l'ameublement s'est maintenu au-dessus des 80 % les dernières années, mais connaît un recul depuis le troisième trimestre de 2022. Avec 72,5 % au deuxième trimestre de 2023, nous avons atteint le point le plus bas au cours des 10 dernières années.</w:t>
      </w:r>
    </w:p>
    <w:p w14:paraId="41AE86EC" w14:textId="77777777" w:rsidR="0039673B" w:rsidRPr="00DB20F6" w:rsidRDefault="0039673B" w:rsidP="0039673B">
      <w:pPr>
        <w:pStyle w:val="BodyText"/>
        <w:rPr>
          <w:rFonts w:asciiTheme="minorHAnsi" w:hAnsiTheme="minorHAnsi" w:cstheme="minorHAnsi"/>
          <w:szCs w:val="22"/>
        </w:rPr>
      </w:pPr>
    </w:p>
    <w:p w14:paraId="5F7AF502" w14:textId="77777777" w:rsidR="0039673B" w:rsidRPr="00DB20F6" w:rsidRDefault="0039673B" w:rsidP="0039673B">
      <w:pPr>
        <w:pStyle w:val="BodyText"/>
        <w:jc w:val="center"/>
        <w:rPr>
          <w:rFonts w:asciiTheme="minorHAnsi" w:hAnsiTheme="minorHAnsi" w:cstheme="minorHAnsi"/>
          <w:szCs w:val="22"/>
        </w:rPr>
      </w:pPr>
      <w:r w:rsidRPr="00DB20F6">
        <w:rPr>
          <w:rFonts w:asciiTheme="minorHAnsi" w:hAnsiTheme="minorHAnsi"/>
          <w:b/>
          <w:sz w:val="24"/>
        </w:rPr>
        <w:t>Taux d'occupation de la capacité de production dans l'industrie belge de l'ameublement</w:t>
      </w:r>
      <w:r w:rsidRPr="00DB20F6">
        <w:rPr>
          <w:rFonts w:asciiTheme="minorHAnsi" w:hAnsiTheme="minorHAnsi"/>
          <w:sz w:val="10"/>
          <w:szCs w:val="22"/>
        </w:rPr>
        <w:drawing>
          <wp:inline distT="0" distB="0" distL="0" distR="0" wp14:anchorId="6CE091AF" wp14:editId="7E41E619">
            <wp:extent cx="5759532" cy="2547257"/>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162F70" w14:textId="77777777" w:rsidR="0039673B" w:rsidRPr="00DB20F6" w:rsidRDefault="0039673B" w:rsidP="0039673B">
      <w:pPr>
        <w:pStyle w:val="BodyText"/>
        <w:tabs>
          <w:tab w:val="clear" w:pos="3884"/>
        </w:tabs>
        <w:jc w:val="left"/>
        <w:rPr>
          <w:rFonts w:asciiTheme="minorHAnsi" w:hAnsiTheme="minorHAnsi" w:cstheme="minorHAnsi"/>
          <w:sz w:val="16"/>
          <w:szCs w:val="22"/>
        </w:rPr>
      </w:pPr>
      <w:r w:rsidRPr="00DB20F6">
        <w:rPr>
          <w:rFonts w:asciiTheme="minorHAnsi" w:hAnsiTheme="minorHAnsi"/>
          <w:sz w:val="16"/>
          <w:szCs w:val="22"/>
        </w:rPr>
        <w:tab/>
      </w:r>
      <w:r w:rsidRPr="00DB20F6">
        <w:rPr>
          <w:rFonts w:asciiTheme="minorHAnsi" w:hAnsiTheme="minorHAnsi"/>
          <w:sz w:val="16"/>
        </w:rPr>
        <w:t>Source : Banque nationale de Belgique</w:t>
      </w:r>
    </w:p>
    <w:p w14:paraId="6D2689C4" w14:textId="77777777" w:rsidR="0039673B" w:rsidRPr="00DB20F6" w:rsidRDefault="0039673B" w:rsidP="0039673B">
      <w:pPr>
        <w:pStyle w:val="BodyText"/>
        <w:rPr>
          <w:rFonts w:asciiTheme="minorHAnsi" w:hAnsiTheme="minorHAnsi" w:cstheme="minorHAnsi"/>
          <w:szCs w:val="22"/>
          <w:highlight w:val="yellow"/>
        </w:rPr>
      </w:pPr>
    </w:p>
    <w:p w14:paraId="36B2748D" w14:textId="77777777" w:rsidR="003A7539" w:rsidRDefault="003A7539">
      <w:pPr>
        <w:rPr>
          <w:rFonts w:eastAsia="Times New Roman" w:cs="Times New Roman"/>
          <w:b/>
          <w:noProof/>
          <w:szCs w:val="20"/>
          <w:u w:val="single"/>
          <w:lang w:eastAsia="nl-NL"/>
        </w:rPr>
      </w:pPr>
      <w:r>
        <w:rPr>
          <w:b/>
          <w:u w:val="single"/>
        </w:rPr>
        <w:br w:type="page"/>
      </w:r>
    </w:p>
    <w:p w14:paraId="7A80193D" w14:textId="40812D45" w:rsidR="0039673B" w:rsidRPr="00DB20F6" w:rsidRDefault="0039673B" w:rsidP="0039673B">
      <w:pPr>
        <w:pStyle w:val="BodyText"/>
        <w:rPr>
          <w:rFonts w:asciiTheme="minorHAnsi" w:hAnsiTheme="minorHAnsi" w:cstheme="minorBidi"/>
          <w:b/>
          <w:bCs/>
          <w:u w:val="single"/>
        </w:rPr>
      </w:pPr>
      <w:r w:rsidRPr="00DB20F6">
        <w:rPr>
          <w:rFonts w:asciiTheme="minorHAnsi" w:hAnsiTheme="minorHAnsi"/>
          <w:b/>
          <w:u w:val="single"/>
        </w:rPr>
        <w:lastRenderedPageBreak/>
        <w:t>L'emploi reste à niveau dans le secteur belge de l'ameublement</w:t>
      </w:r>
    </w:p>
    <w:p w14:paraId="1F552EE0" w14:textId="77777777" w:rsidR="0039673B" w:rsidRPr="00DB20F6" w:rsidRDefault="0039673B" w:rsidP="0039673B">
      <w:pPr>
        <w:pStyle w:val="BodyText"/>
        <w:rPr>
          <w:rFonts w:asciiTheme="minorHAnsi" w:hAnsiTheme="minorHAnsi" w:cstheme="minorHAnsi"/>
        </w:rPr>
      </w:pPr>
    </w:p>
    <w:p w14:paraId="21F408A4"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722 entreprises occupaient 9.763 collaborateurs en 2022, une baisse limitée de 61 unités en comparaison avec 2021. L'emploi s'est par conséquent assez bien maintenu. </w:t>
      </w:r>
    </w:p>
    <w:p w14:paraId="29FC3713" w14:textId="77777777" w:rsidR="0039673B" w:rsidRPr="00DB20F6" w:rsidRDefault="0039673B" w:rsidP="0039673B">
      <w:pPr>
        <w:pStyle w:val="BodyText"/>
        <w:rPr>
          <w:rFonts w:asciiTheme="minorHAnsi" w:hAnsiTheme="minorHAnsi" w:cstheme="minorHAnsi"/>
          <w:szCs w:val="22"/>
        </w:rPr>
      </w:pPr>
    </w:p>
    <w:p w14:paraId="4BD98FEB" w14:textId="77777777" w:rsidR="0039673B" w:rsidRDefault="0039673B" w:rsidP="0039673B">
      <w:pPr>
        <w:pStyle w:val="BodyText"/>
        <w:rPr>
          <w:rFonts w:asciiTheme="minorHAnsi" w:hAnsiTheme="minorHAnsi"/>
        </w:rPr>
      </w:pPr>
      <w:r w:rsidRPr="00DB20F6">
        <w:rPr>
          <w:rFonts w:asciiTheme="minorHAnsi" w:hAnsiTheme="minorHAnsi"/>
        </w:rPr>
        <w:t>En dépit du taux d'activité économique en baisse, les entreprises sont restées à la recherche de collaborateurs techniquement qualifiés afin de compenser le départ de travailleurs plus âgés. Fedustria réalise des actions pour inciter les jeunes à suivre une formation et à travailler dans le secteur de l'ameublement.</w:t>
      </w:r>
    </w:p>
    <w:p w14:paraId="7473172A" w14:textId="77777777" w:rsidR="0039673B" w:rsidRPr="00DB20F6" w:rsidRDefault="0039673B" w:rsidP="0039673B">
      <w:pPr>
        <w:pStyle w:val="BodyText"/>
        <w:rPr>
          <w:rFonts w:asciiTheme="minorHAnsi" w:hAnsiTheme="minorHAnsi" w:cstheme="minorHAnsi"/>
          <w:szCs w:val="22"/>
        </w:rPr>
      </w:pPr>
    </w:p>
    <w:p w14:paraId="7E4C9C91" w14:textId="77777777" w:rsidR="0039673B" w:rsidRPr="00DB20F6" w:rsidRDefault="0039673B" w:rsidP="0039673B">
      <w:pPr>
        <w:pStyle w:val="BodyText"/>
        <w:rPr>
          <w:rFonts w:asciiTheme="minorHAnsi" w:hAnsiTheme="minorHAnsi" w:cstheme="minorHAnsi"/>
          <w:b/>
          <w:bCs/>
          <w:u w:val="single"/>
        </w:rPr>
      </w:pPr>
      <w:r w:rsidRPr="00DB20F6">
        <w:rPr>
          <w:rFonts w:asciiTheme="minorHAnsi" w:hAnsiTheme="minorHAnsi"/>
          <w:b/>
          <w:u w:val="single"/>
        </w:rPr>
        <w:t>La confiance des consommateurs atteint un creux historique</w:t>
      </w:r>
    </w:p>
    <w:p w14:paraId="5C1F5FAF" w14:textId="77777777" w:rsidR="0039673B" w:rsidRPr="00DB20F6" w:rsidRDefault="0039673B" w:rsidP="0039673B">
      <w:pPr>
        <w:pStyle w:val="BodyText"/>
        <w:rPr>
          <w:rFonts w:asciiTheme="minorHAnsi" w:hAnsiTheme="minorHAnsi" w:cstheme="minorHAnsi"/>
        </w:rPr>
      </w:pPr>
    </w:p>
    <w:p w14:paraId="3AA6A3E7"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Après un creux historique à la mi-2022, la confiance des consommateurs belges et européens s'est rétablie légèrement avant de rechuter en été 2023.</w:t>
      </w:r>
    </w:p>
    <w:p w14:paraId="25EA9AE7" w14:textId="77777777" w:rsidR="0039673B" w:rsidRPr="00DB20F6" w:rsidRDefault="0039673B" w:rsidP="0039673B">
      <w:pPr>
        <w:pStyle w:val="BodyText"/>
        <w:rPr>
          <w:rFonts w:asciiTheme="minorHAnsi" w:hAnsiTheme="minorHAnsi" w:cstheme="minorBidi"/>
        </w:rPr>
      </w:pPr>
    </w:p>
    <w:p w14:paraId="34455C6C"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Des facteurs importants avec un impact sur la confiance sont en grande partie demeurés inchangés. L'inflation est restée proportionnellement élevée, les prix n'ont baissé que partiellement et la guerre en Ukraine est dans l'impasse, sans perspective de solution. L'attaque récente du Hamas contre Israël et la réaction à celle-ci ont également des conséquences sur l'économie européenne et belge.</w:t>
      </w:r>
    </w:p>
    <w:p w14:paraId="63F7602B" w14:textId="77777777" w:rsidR="0039673B" w:rsidRPr="00DB20F6" w:rsidRDefault="0039673B" w:rsidP="0039673B">
      <w:pPr>
        <w:pStyle w:val="BodyText"/>
        <w:rPr>
          <w:rFonts w:asciiTheme="minorHAnsi" w:hAnsiTheme="minorHAnsi" w:cstheme="minorBidi"/>
        </w:rPr>
      </w:pPr>
    </w:p>
    <w:p w14:paraId="24312FA8" w14:textId="77777777" w:rsidR="0039673B" w:rsidRPr="00DB20F6" w:rsidRDefault="0039673B" w:rsidP="0039673B">
      <w:pPr>
        <w:pStyle w:val="BodyText"/>
        <w:rPr>
          <w:rFonts w:asciiTheme="minorHAnsi" w:hAnsiTheme="minorHAnsi" w:cstheme="minorHAnsi"/>
          <w:sz w:val="6"/>
          <w:szCs w:val="4"/>
        </w:rPr>
      </w:pPr>
    </w:p>
    <w:p w14:paraId="0DFE184D" w14:textId="77777777" w:rsidR="0039673B" w:rsidRPr="00DB20F6" w:rsidRDefault="0039673B" w:rsidP="0039673B">
      <w:pPr>
        <w:pStyle w:val="BodyText"/>
        <w:jc w:val="center"/>
        <w:rPr>
          <w:rFonts w:asciiTheme="minorHAnsi" w:hAnsiTheme="minorHAnsi" w:cstheme="minorHAnsi"/>
          <w:b/>
          <w:bCs/>
          <w:sz w:val="20"/>
        </w:rPr>
      </w:pPr>
      <w:r w:rsidRPr="00DB20F6">
        <w:rPr>
          <w:rFonts w:asciiTheme="minorHAnsi" w:hAnsiTheme="minorHAnsi"/>
          <w:b/>
          <w:sz w:val="20"/>
        </w:rPr>
        <w:t>Evolution de la confiance des consommateurs en Belgique et au sein de l'UE</w:t>
      </w:r>
    </w:p>
    <w:p w14:paraId="67F6F466" w14:textId="77777777" w:rsidR="0039673B" w:rsidRPr="00DB20F6" w:rsidRDefault="0039673B" w:rsidP="0039673B">
      <w:pPr>
        <w:pStyle w:val="BodyText"/>
        <w:jc w:val="center"/>
        <w:rPr>
          <w:rFonts w:asciiTheme="minorHAnsi" w:hAnsiTheme="minorHAnsi" w:cstheme="minorBidi"/>
          <w:b/>
          <w:bCs/>
          <w:sz w:val="24"/>
          <w:szCs w:val="24"/>
        </w:rPr>
      </w:pPr>
      <w:r w:rsidRPr="00DB20F6">
        <w:rPr>
          <w:rFonts w:asciiTheme="minorHAnsi" w:hAnsiTheme="minorHAnsi"/>
          <w:b/>
          <w:bCs/>
          <w:sz w:val="24"/>
          <w:szCs w:val="24"/>
        </w:rPr>
        <w:drawing>
          <wp:inline distT="0" distB="0" distL="0" distR="0" wp14:anchorId="41255347" wp14:editId="0BA01410">
            <wp:extent cx="5098769" cy="2971800"/>
            <wp:effectExtent l="0" t="0" r="6985" b="0"/>
            <wp:docPr id="1455258839" name="Afbeelding 145525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2248" cy="2985484"/>
                    </a:xfrm>
                    <a:prstGeom prst="rect">
                      <a:avLst/>
                    </a:prstGeom>
                    <a:noFill/>
                    <a:ln>
                      <a:noFill/>
                    </a:ln>
                  </pic:spPr>
                </pic:pic>
              </a:graphicData>
            </a:graphic>
          </wp:inline>
        </w:drawing>
      </w:r>
    </w:p>
    <w:p w14:paraId="080AD043" w14:textId="77777777" w:rsidR="0039673B" w:rsidRPr="00DB20F6" w:rsidRDefault="0039673B" w:rsidP="0039673B">
      <w:pPr>
        <w:pStyle w:val="BodyText"/>
        <w:ind w:firstLine="284"/>
        <w:rPr>
          <w:rFonts w:asciiTheme="minorHAnsi" w:hAnsiTheme="minorHAnsi" w:cstheme="minorHAnsi"/>
          <w:sz w:val="16"/>
          <w:szCs w:val="16"/>
        </w:rPr>
      </w:pPr>
      <w:r w:rsidRPr="00DB20F6">
        <w:rPr>
          <w:rFonts w:asciiTheme="minorHAnsi" w:hAnsiTheme="minorHAnsi"/>
          <w:sz w:val="16"/>
        </w:rPr>
        <w:t>Source : Commission européenne</w:t>
      </w:r>
    </w:p>
    <w:p w14:paraId="21E460B3" w14:textId="77777777" w:rsidR="0039673B" w:rsidRPr="00CD5CD9" w:rsidRDefault="0039673B" w:rsidP="0039673B">
      <w:pPr>
        <w:pStyle w:val="BodyText"/>
        <w:rPr>
          <w:rFonts w:asciiTheme="minorHAnsi" w:hAnsiTheme="minorHAnsi" w:cstheme="minorHAnsi"/>
          <w:szCs w:val="22"/>
        </w:rPr>
      </w:pPr>
    </w:p>
    <w:p w14:paraId="515E7C02" w14:textId="77777777" w:rsidR="0039673B" w:rsidRPr="00CD5CD9" w:rsidRDefault="0039673B" w:rsidP="0039673B">
      <w:pPr>
        <w:pStyle w:val="BodyText"/>
        <w:rPr>
          <w:rFonts w:asciiTheme="minorHAnsi" w:hAnsiTheme="minorHAnsi" w:cstheme="minorBidi"/>
          <w:b/>
          <w:bCs/>
          <w:szCs w:val="22"/>
          <w:u w:val="single"/>
        </w:rPr>
      </w:pPr>
      <w:r w:rsidRPr="00CD5CD9">
        <w:rPr>
          <w:rFonts w:asciiTheme="minorHAnsi" w:hAnsiTheme="minorHAnsi"/>
          <w:b/>
          <w:szCs w:val="22"/>
          <w:u w:val="single"/>
        </w:rPr>
        <w:t xml:space="preserve">Niveau des commandes en hausse dans le commerce de l'ameublement </w:t>
      </w:r>
    </w:p>
    <w:p w14:paraId="30C82F6B" w14:textId="77777777" w:rsidR="0039673B" w:rsidRPr="00CD5CD9" w:rsidRDefault="0039673B" w:rsidP="0039673B">
      <w:pPr>
        <w:pStyle w:val="BodyText"/>
        <w:rPr>
          <w:rFonts w:asciiTheme="minorHAnsi" w:hAnsiTheme="minorHAnsi" w:cstheme="minorHAnsi"/>
          <w:b/>
          <w:szCs w:val="22"/>
        </w:rPr>
      </w:pPr>
    </w:p>
    <w:p w14:paraId="0ACFFBC8" w14:textId="77777777" w:rsidR="0039673B" w:rsidRPr="00CD5CD9" w:rsidRDefault="0039673B" w:rsidP="0039673B">
      <w:pPr>
        <w:jc w:val="both"/>
      </w:pPr>
      <w:r w:rsidRPr="00CD5CD9">
        <w:t>D’après l’enquête mensuelle de la Banque Nationale de Belgique, sur les 8 premiers mois de 2023 cumulés, les commandes reçues dans le commerce belge de l’ameublement ont augmenté de 11,3 %. Après une augmentation de 13,0 % au premier trimestre de 2023, l'augmentation des commandes au deuxième trimestre s'est limitée à 5,7 % pour s'accélérer à nouveau en juillet-août et atteindre 15,7 %.</w:t>
      </w:r>
    </w:p>
    <w:p w14:paraId="67FAEE50" w14:textId="77777777" w:rsidR="0039673B" w:rsidRPr="003A7539" w:rsidRDefault="0039673B" w:rsidP="0039673B">
      <w:pPr>
        <w:jc w:val="both"/>
        <w:rPr>
          <w:sz w:val="6"/>
          <w:szCs w:val="6"/>
        </w:rPr>
      </w:pPr>
      <w:bookmarkStart w:id="2" w:name="_Hlk149121682"/>
    </w:p>
    <w:p w14:paraId="209557EB" w14:textId="77777777" w:rsidR="0039673B" w:rsidRPr="00CD5CD9" w:rsidRDefault="0039673B" w:rsidP="0039673B">
      <w:pPr>
        <w:jc w:val="both"/>
      </w:pPr>
      <w:r w:rsidRPr="00CD5CD9">
        <w:t>Cela contraste quelque peu avec les signaux que nous percevons du marché et du commerce. Les hausses peuvent d'autre part aussi s'expliquer par le recul des ventes en 2022 et les prix plus élevés.</w:t>
      </w:r>
    </w:p>
    <w:bookmarkEnd w:id="2"/>
    <w:p w14:paraId="386341EB" w14:textId="77777777" w:rsidR="0039673B" w:rsidRPr="00DB20F6" w:rsidRDefault="0039673B" w:rsidP="0039673B">
      <w:pPr>
        <w:pStyle w:val="BodyText"/>
        <w:jc w:val="left"/>
      </w:pPr>
      <w:r w:rsidRPr="00DB20F6">
        <w:lastRenderedPageBreak/>
        <w:drawing>
          <wp:inline distT="0" distB="0" distL="0" distR="0" wp14:anchorId="12A81751" wp14:editId="55934023">
            <wp:extent cx="5760085" cy="3764280"/>
            <wp:effectExtent l="0" t="0" r="12065" b="7620"/>
            <wp:docPr id="467271854" name="Grafiek 1">
              <a:extLst xmlns:a="http://schemas.openxmlformats.org/drawingml/2006/main">
                <a:ext uri="{FF2B5EF4-FFF2-40B4-BE49-F238E27FC236}">
                  <a16:creationId xmlns:a16="http://schemas.microsoft.com/office/drawing/2014/main" id="{EF33CA41-D79E-7412-08E5-B5235E128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E4B387" w14:textId="77777777" w:rsidR="0039673B" w:rsidRPr="00DB20F6" w:rsidRDefault="0039673B" w:rsidP="0039673B">
      <w:pPr>
        <w:pStyle w:val="BodyText"/>
        <w:rPr>
          <w:rFonts w:asciiTheme="minorHAnsi" w:hAnsiTheme="minorHAnsi" w:cstheme="minorHAnsi"/>
        </w:rPr>
      </w:pPr>
      <w:r w:rsidRPr="00DB20F6">
        <w:rPr>
          <w:rFonts w:asciiTheme="minorHAnsi" w:hAnsiTheme="minorHAnsi"/>
          <w:sz w:val="16"/>
        </w:rPr>
        <w:t>Source : Banque nationale de Belgique</w:t>
      </w:r>
    </w:p>
    <w:p w14:paraId="2AC8361C" w14:textId="77777777" w:rsidR="0039673B" w:rsidRPr="00DB20F6" w:rsidRDefault="0039673B" w:rsidP="0039673B">
      <w:pPr>
        <w:rPr>
          <w:rFonts w:cstheme="minorHAnsi"/>
        </w:rPr>
      </w:pPr>
    </w:p>
    <w:p w14:paraId="5DD09182" w14:textId="77777777" w:rsidR="0039673B" w:rsidRPr="00DB20F6" w:rsidRDefault="0039673B" w:rsidP="0039673B">
      <w:pPr>
        <w:pStyle w:val="BodyText"/>
        <w:rPr>
          <w:rFonts w:asciiTheme="minorHAnsi" w:hAnsiTheme="minorHAnsi" w:cstheme="minorHAnsi"/>
          <w:b/>
          <w:u w:val="single"/>
        </w:rPr>
      </w:pPr>
      <w:r w:rsidRPr="00DB20F6">
        <w:rPr>
          <w:rFonts w:asciiTheme="minorHAnsi" w:hAnsiTheme="minorHAnsi"/>
          <w:b/>
          <w:u w:val="single"/>
        </w:rPr>
        <w:t>Commerce extérieur : l'importation et l'exportation de meubles diminuent</w:t>
      </w:r>
    </w:p>
    <w:p w14:paraId="256B110E" w14:textId="77777777" w:rsidR="0039673B" w:rsidRPr="00DB20F6" w:rsidRDefault="0039673B" w:rsidP="0039673B">
      <w:pPr>
        <w:pStyle w:val="BodyText"/>
        <w:rPr>
          <w:rFonts w:asciiTheme="minorHAnsi" w:hAnsiTheme="minorHAnsi" w:cstheme="minorHAnsi"/>
          <w:b/>
        </w:rPr>
      </w:pPr>
    </w:p>
    <w:p w14:paraId="1779FDFC"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Durant le premier semestre 2023, </w:t>
      </w:r>
      <w:r w:rsidRPr="00DB20F6">
        <w:rPr>
          <w:rFonts w:asciiTheme="minorHAnsi" w:hAnsiTheme="minorHAnsi"/>
          <w:b/>
          <w:bCs/>
        </w:rPr>
        <w:t>les exportations des meubles belges</w:t>
      </w:r>
      <w:r w:rsidRPr="00DB20F6">
        <w:rPr>
          <w:rFonts w:asciiTheme="minorHAnsi" w:hAnsiTheme="minorHAnsi"/>
        </w:rPr>
        <w:t xml:space="preserve"> (transit compris) ont baissé de 12,2 % en valeur par rapport au premier semestre 2022. Tenant compte de l'augmentation du prix de revient y afférente, cela signifie pourtant bel et bien une baisse encore plus forte du volume. On a exporté pour un peu moins de 802 millions d’euros en meubles. La France reste certes le principal marché étranger, mais a enregistré une baisse de 23,5 %. Le pays représente maintenant un tiers des exportations de meubles. Les Pays-Bas (-7,8 %) et l'Allemagne (-9,3 %) ont également perdu une importance relative. Les exportations totales dans des pays au sein de l'UE ont baissé de 13,5 %. Une augmentation a été constatée dans certains pays ou régions, mais au final les chiffres d'affaires sont restés limités.</w:t>
      </w:r>
    </w:p>
    <w:p w14:paraId="3E11735B" w14:textId="77777777" w:rsidR="0039673B" w:rsidRPr="00DB20F6" w:rsidRDefault="0039673B" w:rsidP="0039673B">
      <w:pPr>
        <w:pStyle w:val="BodyText"/>
        <w:rPr>
          <w:rFonts w:asciiTheme="minorHAnsi" w:hAnsiTheme="minorHAnsi" w:cstheme="minorHAnsi"/>
        </w:rPr>
      </w:pPr>
    </w:p>
    <w:p w14:paraId="3E83367C" w14:textId="77777777" w:rsidR="0039673B" w:rsidRPr="00DB20F6" w:rsidRDefault="0039673B" w:rsidP="0039673B">
      <w:pPr>
        <w:pStyle w:val="BodyText"/>
        <w:rPr>
          <w:rFonts w:asciiTheme="minorHAnsi" w:hAnsiTheme="minorHAnsi" w:cstheme="minorBidi"/>
        </w:rPr>
      </w:pPr>
      <w:r w:rsidRPr="00DB20F6">
        <w:rPr>
          <w:rFonts w:asciiTheme="minorHAnsi" w:hAnsiTheme="minorHAnsi"/>
        </w:rPr>
        <w:t xml:space="preserve">Les </w:t>
      </w:r>
      <w:r w:rsidRPr="00DB20F6">
        <w:rPr>
          <w:rFonts w:asciiTheme="minorHAnsi" w:hAnsiTheme="minorHAnsi"/>
          <w:b/>
          <w:bCs/>
        </w:rPr>
        <w:t>importations de meubles</w:t>
      </w:r>
      <w:r w:rsidRPr="00DB20F6">
        <w:rPr>
          <w:rFonts w:asciiTheme="minorHAnsi" w:hAnsiTheme="minorHAnsi"/>
        </w:rPr>
        <w:t xml:space="preserve"> ont fortement diminué avec 17,4 %, ce qui est principalement dû à une baisse des importations en provenance d'Extrême-Orient, avec la Chine (-30,6 %), l'Indonésie (-49,8 %) et le Vietnam (-54,8 %) comme perdants les plus frappants. Avec une part de 24,8 %, la Chine reste néanmoins le plus important pays d'origine. Il y a aussi eu moins de meubles en provenance d'Europe de l'Est, principalement à cause d'un recul – prévu – de la Biélorussie (-76,1 %), bien que les meubles ne relèvent pas des sanctions promulguées par l'UE. On a importé 3,7 % de meubles en moins en provenance des autres pays de l'UE. Après la Chine, les Pays-Bas et l'Allemagne restent les principaux fournisseurs de meubles sur le marché belge.</w:t>
      </w:r>
    </w:p>
    <w:p w14:paraId="4ACE1760" w14:textId="77777777" w:rsidR="0039673B" w:rsidRPr="00DB20F6" w:rsidRDefault="0039673B" w:rsidP="0039673B">
      <w:pPr>
        <w:rPr>
          <w:rFonts w:cstheme="minorHAnsi"/>
        </w:rPr>
      </w:pPr>
      <w:r w:rsidRPr="00DB20F6">
        <w:br w:type="page"/>
      </w:r>
    </w:p>
    <w:p w14:paraId="5F63A008" w14:textId="77777777" w:rsidR="0039673B" w:rsidRPr="00DB20F6" w:rsidRDefault="0039673B" w:rsidP="0039673B">
      <w:pPr>
        <w:pStyle w:val="BodyText"/>
        <w:rPr>
          <w:rFonts w:asciiTheme="minorHAnsi" w:hAnsiTheme="minorHAnsi" w:cstheme="minorHAnsi"/>
          <w:szCs w:val="22"/>
        </w:rPr>
      </w:pPr>
    </w:p>
    <w:tbl>
      <w:tblPr>
        <w:tblW w:w="8819" w:type="dxa"/>
        <w:tblCellMar>
          <w:left w:w="70" w:type="dxa"/>
          <w:right w:w="70" w:type="dxa"/>
        </w:tblCellMar>
        <w:tblLook w:val="04A0" w:firstRow="1" w:lastRow="0" w:firstColumn="1" w:lastColumn="0" w:noHBand="0" w:noVBand="1"/>
      </w:tblPr>
      <w:tblGrid>
        <w:gridCol w:w="1229"/>
        <w:gridCol w:w="674"/>
        <w:gridCol w:w="997"/>
        <w:gridCol w:w="997"/>
        <w:gridCol w:w="827"/>
        <w:gridCol w:w="786"/>
        <w:gridCol w:w="873"/>
        <w:gridCol w:w="873"/>
        <w:gridCol w:w="639"/>
        <w:gridCol w:w="1046"/>
      </w:tblGrid>
      <w:tr w:rsidR="0039673B" w:rsidRPr="00DB20F6" w14:paraId="5719B06C" w14:textId="77777777" w:rsidTr="00C07BA6">
        <w:tc>
          <w:tcPr>
            <w:tcW w:w="8819" w:type="dxa"/>
            <w:gridSpan w:val="10"/>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0BFF2ACD" w14:textId="77777777" w:rsidR="0039673B" w:rsidRPr="00DB20F6" w:rsidRDefault="0039673B" w:rsidP="00C07BA6">
            <w:pPr>
              <w:jc w:val="center"/>
              <w:rPr>
                <w:rFonts w:cstheme="minorHAnsi"/>
                <w:b/>
                <w:bCs/>
                <w:sz w:val="16"/>
                <w:szCs w:val="16"/>
              </w:rPr>
            </w:pPr>
            <w:r w:rsidRPr="00DB20F6">
              <w:rPr>
                <w:b/>
                <w:sz w:val="16"/>
              </w:rPr>
              <w:t>Commerce extérieur de l'industrie de l'ameublement (meubles en métal et matière synthétique inclus)</w:t>
            </w:r>
          </w:p>
        </w:tc>
      </w:tr>
      <w:tr w:rsidR="0039673B" w:rsidRPr="00DB20F6" w14:paraId="1F3BF2C1" w14:textId="77777777" w:rsidTr="00C07BA6">
        <w:tc>
          <w:tcPr>
            <w:tcW w:w="1229" w:type="dxa"/>
            <w:tcBorders>
              <w:top w:val="nil"/>
              <w:left w:val="single" w:sz="4" w:space="0" w:color="auto"/>
              <w:bottom w:val="nil"/>
              <w:right w:val="nil"/>
            </w:tcBorders>
            <w:shd w:val="clear" w:color="auto" w:fill="FFFFFF" w:themeFill="background1"/>
            <w:noWrap/>
            <w:vAlign w:val="bottom"/>
            <w:hideMark/>
          </w:tcPr>
          <w:p w14:paraId="0F91F0AF" w14:textId="77777777" w:rsidR="0039673B" w:rsidRPr="00DB20F6" w:rsidRDefault="0039673B" w:rsidP="00C07BA6">
            <w:pPr>
              <w:rPr>
                <w:rFonts w:cstheme="minorHAnsi"/>
                <w:color w:val="000000"/>
                <w:sz w:val="16"/>
                <w:szCs w:val="16"/>
              </w:rPr>
            </w:pPr>
            <w:r w:rsidRPr="00DB20F6">
              <w:rPr>
                <w:color w:val="000000"/>
                <w:sz w:val="16"/>
              </w:rPr>
              <w:t> </w:t>
            </w:r>
          </w:p>
        </w:tc>
        <w:tc>
          <w:tcPr>
            <w:tcW w:w="3401"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6CCB2E0E" w14:textId="77777777" w:rsidR="0039673B" w:rsidRPr="00DB20F6" w:rsidRDefault="0039673B" w:rsidP="00C07BA6">
            <w:pPr>
              <w:jc w:val="center"/>
              <w:rPr>
                <w:rFonts w:cstheme="minorHAnsi"/>
                <w:b/>
                <w:bCs/>
                <w:color w:val="000000"/>
                <w:sz w:val="16"/>
                <w:szCs w:val="16"/>
              </w:rPr>
            </w:pPr>
            <w:r w:rsidRPr="00DB20F6">
              <w:rPr>
                <w:b/>
                <w:color w:val="000000"/>
                <w:sz w:val="16"/>
              </w:rPr>
              <w:t>Importations belges</w:t>
            </w:r>
          </w:p>
        </w:tc>
        <w:tc>
          <w:tcPr>
            <w:tcW w:w="3143" w:type="dxa"/>
            <w:gridSpan w:val="4"/>
            <w:tcBorders>
              <w:top w:val="nil"/>
              <w:left w:val="nil"/>
              <w:bottom w:val="nil"/>
              <w:right w:val="nil"/>
            </w:tcBorders>
            <w:shd w:val="clear" w:color="auto" w:fill="FFFFFF" w:themeFill="background1"/>
            <w:noWrap/>
            <w:vAlign w:val="bottom"/>
            <w:hideMark/>
          </w:tcPr>
          <w:p w14:paraId="49B2D00A" w14:textId="77777777" w:rsidR="0039673B" w:rsidRPr="00DB20F6" w:rsidRDefault="0039673B" w:rsidP="00C07BA6">
            <w:pPr>
              <w:jc w:val="center"/>
              <w:rPr>
                <w:rFonts w:cstheme="minorHAnsi"/>
                <w:b/>
                <w:bCs/>
                <w:color w:val="000000"/>
                <w:sz w:val="16"/>
                <w:szCs w:val="16"/>
              </w:rPr>
            </w:pPr>
            <w:r w:rsidRPr="00DB20F6">
              <w:rPr>
                <w:b/>
                <w:color w:val="000000"/>
                <w:sz w:val="16"/>
              </w:rPr>
              <w:t>Exportations belges</w:t>
            </w:r>
          </w:p>
        </w:tc>
        <w:tc>
          <w:tcPr>
            <w:tcW w:w="1046" w:type="dxa"/>
            <w:tcBorders>
              <w:top w:val="nil"/>
              <w:left w:val="single" w:sz="4" w:space="0" w:color="auto"/>
              <w:bottom w:val="nil"/>
              <w:right w:val="single" w:sz="4" w:space="0" w:color="auto"/>
            </w:tcBorders>
            <w:shd w:val="clear" w:color="auto" w:fill="FFFFFF" w:themeFill="background1"/>
            <w:noWrap/>
            <w:vAlign w:val="bottom"/>
            <w:hideMark/>
          </w:tcPr>
          <w:p w14:paraId="6BE3DA55" w14:textId="77777777" w:rsidR="0039673B" w:rsidRPr="00DB20F6" w:rsidRDefault="0039673B" w:rsidP="00C07BA6">
            <w:pPr>
              <w:jc w:val="center"/>
              <w:rPr>
                <w:rFonts w:cstheme="minorHAnsi"/>
                <w:color w:val="000000"/>
                <w:sz w:val="16"/>
                <w:szCs w:val="16"/>
              </w:rPr>
            </w:pPr>
            <w:r w:rsidRPr="00DB20F6">
              <w:rPr>
                <w:color w:val="000000"/>
                <w:sz w:val="16"/>
              </w:rPr>
              <w:t>Pourcentage</w:t>
            </w:r>
          </w:p>
        </w:tc>
      </w:tr>
      <w:tr w:rsidR="0039673B" w:rsidRPr="00DB20F6" w14:paraId="25C218AA" w14:textId="77777777" w:rsidTr="00C07BA6">
        <w:tc>
          <w:tcPr>
            <w:tcW w:w="1229" w:type="dxa"/>
            <w:tcBorders>
              <w:top w:val="nil"/>
              <w:left w:val="single" w:sz="4" w:space="0" w:color="auto"/>
              <w:bottom w:val="nil"/>
              <w:right w:val="nil"/>
            </w:tcBorders>
            <w:shd w:val="clear" w:color="auto" w:fill="FFFFFF" w:themeFill="background1"/>
            <w:noWrap/>
            <w:vAlign w:val="bottom"/>
            <w:hideMark/>
          </w:tcPr>
          <w:p w14:paraId="59DCA3F6" w14:textId="77777777" w:rsidR="0039673B" w:rsidRPr="00DB20F6" w:rsidRDefault="0039673B" w:rsidP="00C07BA6">
            <w:pPr>
              <w:rPr>
                <w:rFonts w:cstheme="minorHAnsi"/>
                <w:color w:val="000000"/>
                <w:sz w:val="16"/>
                <w:szCs w:val="16"/>
              </w:rPr>
            </w:pPr>
            <w:r w:rsidRPr="00DB20F6">
              <w:rPr>
                <w:color w:val="000000"/>
                <w:sz w:val="16"/>
              </w:rPr>
              <w:t> </w:t>
            </w:r>
          </w:p>
        </w:tc>
        <w:tc>
          <w:tcPr>
            <w:tcW w:w="609" w:type="dxa"/>
            <w:tcBorders>
              <w:top w:val="nil"/>
              <w:left w:val="single" w:sz="4" w:space="0" w:color="auto"/>
              <w:bottom w:val="nil"/>
              <w:right w:val="nil"/>
            </w:tcBorders>
            <w:shd w:val="clear" w:color="auto" w:fill="FFFFFF" w:themeFill="background1"/>
            <w:noWrap/>
            <w:vAlign w:val="bottom"/>
            <w:hideMark/>
          </w:tcPr>
          <w:p w14:paraId="008B0A02" w14:textId="77777777" w:rsidR="0039673B" w:rsidRPr="00DB20F6" w:rsidRDefault="0039673B" w:rsidP="00C07BA6">
            <w:pPr>
              <w:jc w:val="center"/>
              <w:rPr>
                <w:rFonts w:cstheme="minorHAnsi"/>
                <w:color w:val="000000"/>
                <w:sz w:val="16"/>
                <w:szCs w:val="16"/>
              </w:rPr>
            </w:pPr>
            <w:r w:rsidRPr="00DB20F6">
              <w:rPr>
                <w:color w:val="000000"/>
                <w:sz w:val="16"/>
              </w:rPr>
              <w:t>Part</w:t>
            </w:r>
          </w:p>
        </w:tc>
        <w:tc>
          <w:tcPr>
            <w:tcW w:w="980" w:type="dxa"/>
            <w:tcBorders>
              <w:top w:val="nil"/>
              <w:left w:val="nil"/>
              <w:bottom w:val="nil"/>
              <w:right w:val="nil"/>
            </w:tcBorders>
            <w:shd w:val="clear" w:color="auto" w:fill="FFFFFF" w:themeFill="background1"/>
            <w:noWrap/>
            <w:vAlign w:val="bottom"/>
            <w:hideMark/>
          </w:tcPr>
          <w:p w14:paraId="710BA8F1" w14:textId="77777777" w:rsidR="0039673B" w:rsidRPr="00DB20F6" w:rsidRDefault="0039673B" w:rsidP="00C07BA6">
            <w:pPr>
              <w:jc w:val="center"/>
              <w:rPr>
                <w:rFonts w:cstheme="minorHAnsi"/>
                <w:color w:val="000000"/>
                <w:sz w:val="16"/>
                <w:szCs w:val="16"/>
              </w:rPr>
            </w:pPr>
            <w:r w:rsidRPr="00DB20F6">
              <w:rPr>
                <w:color w:val="000000"/>
                <w:sz w:val="16"/>
              </w:rPr>
              <w:t> </w:t>
            </w:r>
          </w:p>
        </w:tc>
        <w:tc>
          <w:tcPr>
            <w:tcW w:w="980" w:type="dxa"/>
            <w:tcBorders>
              <w:top w:val="nil"/>
              <w:left w:val="nil"/>
              <w:bottom w:val="nil"/>
              <w:right w:val="nil"/>
            </w:tcBorders>
            <w:shd w:val="clear" w:color="auto" w:fill="FFFFFF" w:themeFill="background1"/>
            <w:noWrap/>
            <w:vAlign w:val="bottom"/>
            <w:hideMark/>
          </w:tcPr>
          <w:p w14:paraId="675D2AEC" w14:textId="77777777" w:rsidR="0039673B" w:rsidRPr="00DB20F6" w:rsidRDefault="0039673B" w:rsidP="00C07BA6">
            <w:pPr>
              <w:jc w:val="center"/>
              <w:rPr>
                <w:rFonts w:cstheme="minorHAnsi"/>
                <w:color w:val="000000"/>
                <w:sz w:val="16"/>
                <w:szCs w:val="16"/>
              </w:rPr>
            </w:pPr>
            <w:r w:rsidRPr="00DB20F6">
              <w:rPr>
                <w:color w:val="000000"/>
                <w:sz w:val="16"/>
              </w:rPr>
              <w:t> </w:t>
            </w:r>
          </w:p>
        </w:tc>
        <w:tc>
          <w:tcPr>
            <w:tcW w:w="827" w:type="dxa"/>
            <w:tcBorders>
              <w:top w:val="nil"/>
              <w:left w:val="nil"/>
              <w:bottom w:val="nil"/>
              <w:right w:val="single" w:sz="4" w:space="0" w:color="auto"/>
            </w:tcBorders>
            <w:shd w:val="clear" w:color="auto" w:fill="FFFFFF" w:themeFill="background1"/>
            <w:noWrap/>
            <w:vAlign w:val="bottom"/>
            <w:hideMark/>
          </w:tcPr>
          <w:p w14:paraId="7C449166" w14:textId="77777777" w:rsidR="0039673B" w:rsidRPr="00DB20F6" w:rsidRDefault="0039673B" w:rsidP="00C07BA6">
            <w:pPr>
              <w:jc w:val="center"/>
              <w:rPr>
                <w:rFonts w:cstheme="minorHAnsi"/>
                <w:color w:val="000000"/>
                <w:sz w:val="16"/>
                <w:szCs w:val="16"/>
              </w:rPr>
            </w:pPr>
            <w:r w:rsidRPr="00DB20F6">
              <w:rPr>
                <w:color w:val="000000"/>
                <w:sz w:val="16"/>
              </w:rPr>
              <w:t> </w:t>
            </w:r>
          </w:p>
        </w:tc>
        <w:tc>
          <w:tcPr>
            <w:tcW w:w="786" w:type="dxa"/>
            <w:tcBorders>
              <w:top w:val="nil"/>
              <w:left w:val="nil"/>
              <w:bottom w:val="nil"/>
              <w:right w:val="nil"/>
            </w:tcBorders>
            <w:shd w:val="clear" w:color="auto" w:fill="FFFFFF" w:themeFill="background1"/>
            <w:noWrap/>
            <w:vAlign w:val="bottom"/>
            <w:hideMark/>
          </w:tcPr>
          <w:p w14:paraId="6D8AE4F2" w14:textId="77777777" w:rsidR="0039673B" w:rsidRPr="00DB20F6" w:rsidRDefault="0039673B" w:rsidP="00C07BA6">
            <w:pPr>
              <w:jc w:val="center"/>
              <w:rPr>
                <w:rFonts w:cstheme="minorHAnsi"/>
                <w:color w:val="000000"/>
                <w:sz w:val="16"/>
                <w:szCs w:val="16"/>
              </w:rPr>
            </w:pPr>
            <w:r w:rsidRPr="00DB20F6">
              <w:rPr>
                <w:color w:val="000000"/>
                <w:sz w:val="16"/>
              </w:rPr>
              <w:t>Part</w:t>
            </w:r>
          </w:p>
        </w:tc>
        <w:tc>
          <w:tcPr>
            <w:tcW w:w="859" w:type="dxa"/>
            <w:tcBorders>
              <w:top w:val="nil"/>
              <w:left w:val="nil"/>
              <w:bottom w:val="nil"/>
              <w:right w:val="nil"/>
            </w:tcBorders>
            <w:shd w:val="clear" w:color="auto" w:fill="FFFFFF" w:themeFill="background1"/>
            <w:noWrap/>
            <w:vAlign w:val="bottom"/>
            <w:hideMark/>
          </w:tcPr>
          <w:p w14:paraId="047E1187" w14:textId="77777777" w:rsidR="0039673B" w:rsidRPr="00DB20F6" w:rsidRDefault="0039673B" w:rsidP="00C07BA6">
            <w:pPr>
              <w:jc w:val="center"/>
              <w:rPr>
                <w:rFonts w:cstheme="minorHAnsi"/>
                <w:color w:val="000000"/>
                <w:sz w:val="16"/>
                <w:szCs w:val="16"/>
              </w:rPr>
            </w:pPr>
            <w:r w:rsidRPr="00DB20F6">
              <w:rPr>
                <w:color w:val="000000"/>
                <w:sz w:val="16"/>
              </w:rPr>
              <w:t> </w:t>
            </w:r>
          </w:p>
        </w:tc>
        <w:tc>
          <w:tcPr>
            <w:tcW w:w="859" w:type="dxa"/>
            <w:tcBorders>
              <w:top w:val="nil"/>
              <w:left w:val="nil"/>
              <w:bottom w:val="nil"/>
              <w:right w:val="nil"/>
            </w:tcBorders>
            <w:shd w:val="clear" w:color="auto" w:fill="FFFFFF" w:themeFill="background1"/>
            <w:noWrap/>
            <w:vAlign w:val="bottom"/>
            <w:hideMark/>
          </w:tcPr>
          <w:p w14:paraId="73731406" w14:textId="77777777" w:rsidR="0039673B" w:rsidRPr="00DB20F6" w:rsidRDefault="0039673B" w:rsidP="00C07BA6">
            <w:pPr>
              <w:jc w:val="center"/>
              <w:rPr>
                <w:rFonts w:cstheme="minorHAnsi"/>
                <w:color w:val="000000"/>
                <w:sz w:val="16"/>
                <w:szCs w:val="16"/>
              </w:rPr>
            </w:pPr>
            <w:r w:rsidRPr="00DB20F6">
              <w:rPr>
                <w:color w:val="000000"/>
                <w:sz w:val="16"/>
              </w:rPr>
              <w:t> </w:t>
            </w:r>
          </w:p>
        </w:tc>
        <w:tc>
          <w:tcPr>
            <w:tcW w:w="639" w:type="dxa"/>
            <w:tcBorders>
              <w:top w:val="nil"/>
              <w:left w:val="nil"/>
              <w:bottom w:val="nil"/>
              <w:right w:val="nil"/>
            </w:tcBorders>
            <w:shd w:val="clear" w:color="auto" w:fill="FFFFFF" w:themeFill="background1"/>
            <w:noWrap/>
            <w:vAlign w:val="bottom"/>
            <w:hideMark/>
          </w:tcPr>
          <w:p w14:paraId="20D41BEC" w14:textId="77777777" w:rsidR="0039673B" w:rsidRPr="00DB20F6" w:rsidRDefault="0039673B" w:rsidP="00C07BA6">
            <w:pPr>
              <w:jc w:val="center"/>
              <w:rPr>
                <w:rFonts w:cstheme="minorHAnsi"/>
                <w:color w:val="000000"/>
                <w:sz w:val="16"/>
                <w:szCs w:val="16"/>
              </w:rPr>
            </w:pPr>
            <w:r w:rsidRPr="00DB20F6">
              <w:rPr>
                <w:color w:val="000000"/>
                <w:sz w:val="16"/>
              </w:rPr>
              <w:t> </w:t>
            </w:r>
          </w:p>
        </w:tc>
        <w:tc>
          <w:tcPr>
            <w:tcW w:w="1046" w:type="dxa"/>
            <w:tcBorders>
              <w:top w:val="nil"/>
              <w:left w:val="single" w:sz="4" w:space="0" w:color="auto"/>
              <w:bottom w:val="nil"/>
              <w:right w:val="single" w:sz="4" w:space="0" w:color="auto"/>
            </w:tcBorders>
            <w:shd w:val="clear" w:color="auto" w:fill="FFFFFF" w:themeFill="background1"/>
            <w:noWrap/>
            <w:vAlign w:val="bottom"/>
            <w:hideMark/>
          </w:tcPr>
          <w:p w14:paraId="043FFC63" w14:textId="77777777" w:rsidR="0039673B" w:rsidRPr="00DB20F6" w:rsidRDefault="0039673B" w:rsidP="00C07BA6">
            <w:pPr>
              <w:jc w:val="center"/>
              <w:rPr>
                <w:rFonts w:cstheme="minorHAnsi"/>
                <w:color w:val="000000"/>
                <w:sz w:val="16"/>
                <w:szCs w:val="16"/>
              </w:rPr>
            </w:pPr>
            <w:r w:rsidRPr="00DB20F6">
              <w:rPr>
                <w:color w:val="000000"/>
                <w:sz w:val="16"/>
              </w:rPr>
              <w:t>de couverture</w:t>
            </w:r>
          </w:p>
        </w:tc>
      </w:tr>
      <w:tr w:rsidR="0039673B" w:rsidRPr="00DB20F6" w14:paraId="0DA15540" w14:textId="77777777" w:rsidTr="00C07BA6">
        <w:tc>
          <w:tcPr>
            <w:tcW w:w="1229" w:type="dxa"/>
            <w:tcBorders>
              <w:top w:val="nil"/>
              <w:left w:val="single" w:sz="4" w:space="0" w:color="auto"/>
              <w:bottom w:val="nil"/>
              <w:right w:val="nil"/>
            </w:tcBorders>
            <w:shd w:val="clear" w:color="auto" w:fill="FFFFFF" w:themeFill="background1"/>
            <w:noWrap/>
            <w:vAlign w:val="bottom"/>
            <w:hideMark/>
          </w:tcPr>
          <w:p w14:paraId="2238FC2A" w14:textId="77777777" w:rsidR="0039673B" w:rsidRPr="00DB20F6" w:rsidRDefault="0039673B" w:rsidP="00C07BA6">
            <w:pPr>
              <w:rPr>
                <w:rFonts w:cstheme="minorHAnsi"/>
                <w:color w:val="000000"/>
                <w:sz w:val="16"/>
                <w:szCs w:val="16"/>
              </w:rPr>
            </w:pPr>
            <w:r w:rsidRPr="00DB20F6">
              <w:rPr>
                <w:color w:val="000000"/>
                <w:sz w:val="16"/>
              </w:rPr>
              <w:t> </w:t>
            </w:r>
          </w:p>
        </w:tc>
        <w:tc>
          <w:tcPr>
            <w:tcW w:w="609" w:type="dxa"/>
            <w:tcBorders>
              <w:top w:val="nil"/>
              <w:left w:val="single" w:sz="4" w:space="0" w:color="auto"/>
              <w:bottom w:val="nil"/>
              <w:right w:val="nil"/>
            </w:tcBorders>
            <w:shd w:val="clear" w:color="auto" w:fill="FFFFFF" w:themeFill="background1"/>
            <w:noWrap/>
            <w:vAlign w:val="bottom"/>
            <w:hideMark/>
          </w:tcPr>
          <w:p w14:paraId="7F2E98E4" w14:textId="77777777" w:rsidR="0039673B" w:rsidRPr="00DB20F6" w:rsidRDefault="0039673B" w:rsidP="00C07BA6">
            <w:pPr>
              <w:jc w:val="center"/>
              <w:rPr>
                <w:rFonts w:cstheme="minorHAnsi"/>
                <w:color w:val="000000"/>
                <w:sz w:val="16"/>
                <w:szCs w:val="16"/>
              </w:rPr>
            </w:pPr>
            <w:r w:rsidRPr="00DB20F6">
              <w:rPr>
                <w:color w:val="000000"/>
                <w:sz w:val="16"/>
              </w:rPr>
              <w:t>6m2023</w:t>
            </w:r>
          </w:p>
        </w:tc>
        <w:tc>
          <w:tcPr>
            <w:tcW w:w="980" w:type="dxa"/>
            <w:tcBorders>
              <w:top w:val="nil"/>
              <w:left w:val="nil"/>
              <w:bottom w:val="nil"/>
              <w:right w:val="nil"/>
            </w:tcBorders>
            <w:shd w:val="clear" w:color="auto" w:fill="FFFFFF" w:themeFill="background1"/>
            <w:noWrap/>
            <w:vAlign w:val="bottom"/>
            <w:hideMark/>
          </w:tcPr>
          <w:p w14:paraId="39AC6787" w14:textId="77777777" w:rsidR="0039673B" w:rsidRPr="00DB20F6" w:rsidRDefault="0039673B" w:rsidP="00C07BA6">
            <w:pPr>
              <w:jc w:val="center"/>
              <w:rPr>
                <w:rFonts w:cstheme="minorHAnsi"/>
                <w:color w:val="000000"/>
                <w:sz w:val="16"/>
                <w:szCs w:val="16"/>
              </w:rPr>
            </w:pPr>
            <w:r w:rsidRPr="00DB20F6">
              <w:rPr>
                <w:color w:val="000000"/>
                <w:sz w:val="16"/>
              </w:rPr>
              <w:t>6m2022</w:t>
            </w:r>
          </w:p>
        </w:tc>
        <w:tc>
          <w:tcPr>
            <w:tcW w:w="980" w:type="dxa"/>
            <w:tcBorders>
              <w:top w:val="nil"/>
              <w:left w:val="nil"/>
              <w:bottom w:val="nil"/>
              <w:right w:val="nil"/>
            </w:tcBorders>
            <w:shd w:val="clear" w:color="auto" w:fill="FFFFFF" w:themeFill="background1"/>
            <w:noWrap/>
            <w:vAlign w:val="bottom"/>
            <w:hideMark/>
          </w:tcPr>
          <w:p w14:paraId="260C73E5" w14:textId="77777777" w:rsidR="0039673B" w:rsidRPr="00DB20F6" w:rsidRDefault="0039673B" w:rsidP="00C07BA6">
            <w:pPr>
              <w:jc w:val="center"/>
              <w:rPr>
                <w:rFonts w:cstheme="minorHAnsi"/>
                <w:color w:val="000000"/>
                <w:sz w:val="16"/>
                <w:szCs w:val="16"/>
              </w:rPr>
            </w:pPr>
            <w:r w:rsidRPr="00DB20F6">
              <w:rPr>
                <w:color w:val="000000"/>
                <w:sz w:val="16"/>
              </w:rPr>
              <w:t>6m2023</w:t>
            </w:r>
          </w:p>
        </w:tc>
        <w:tc>
          <w:tcPr>
            <w:tcW w:w="827" w:type="dxa"/>
            <w:tcBorders>
              <w:top w:val="nil"/>
              <w:left w:val="nil"/>
              <w:bottom w:val="nil"/>
              <w:right w:val="single" w:sz="4" w:space="0" w:color="auto"/>
            </w:tcBorders>
            <w:shd w:val="clear" w:color="auto" w:fill="FFFFFF" w:themeFill="background1"/>
            <w:noWrap/>
            <w:vAlign w:val="bottom"/>
            <w:hideMark/>
          </w:tcPr>
          <w:p w14:paraId="46C6E777" w14:textId="77777777" w:rsidR="0039673B" w:rsidRPr="00DB20F6" w:rsidRDefault="0039673B" w:rsidP="00C07BA6">
            <w:pPr>
              <w:jc w:val="center"/>
              <w:rPr>
                <w:rFonts w:cstheme="minorHAnsi"/>
                <w:color w:val="000000"/>
                <w:sz w:val="16"/>
                <w:szCs w:val="16"/>
              </w:rPr>
            </w:pPr>
            <w:r w:rsidRPr="00DB20F6">
              <w:rPr>
                <w:color w:val="000000"/>
                <w:sz w:val="16"/>
              </w:rPr>
              <w:t>6m</w:t>
            </w:r>
          </w:p>
        </w:tc>
        <w:tc>
          <w:tcPr>
            <w:tcW w:w="786" w:type="dxa"/>
            <w:tcBorders>
              <w:top w:val="nil"/>
              <w:left w:val="nil"/>
              <w:bottom w:val="nil"/>
              <w:right w:val="nil"/>
            </w:tcBorders>
            <w:shd w:val="clear" w:color="auto" w:fill="FFFFFF" w:themeFill="background1"/>
            <w:noWrap/>
            <w:vAlign w:val="bottom"/>
            <w:hideMark/>
          </w:tcPr>
          <w:p w14:paraId="57AAA0D0" w14:textId="77777777" w:rsidR="0039673B" w:rsidRPr="00DB20F6" w:rsidRDefault="0039673B" w:rsidP="00C07BA6">
            <w:pPr>
              <w:jc w:val="center"/>
              <w:rPr>
                <w:rFonts w:cstheme="minorHAnsi"/>
                <w:color w:val="000000"/>
                <w:sz w:val="16"/>
                <w:szCs w:val="16"/>
              </w:rPr>
            </w:pPr>
            <w:r w:rsidRPr="00DB20F6">
              <w:rPr>
                <w:color w:val="000000"/>
                <w:sz w:val="16"/>
              </w:rPr>
              <w:t>6m2023</w:t>
            </w:r>
          </w:p>
        </w:tc>
        <w:tc>
          <w:tcPr>
            <w:tcW w:w="859" w:type="dxa"/>
            <w:tcBorders>
              <w:top w:val="nil"/>
              <w:left w:val="nil"/>
              <w:bottom w:val="nil"/>
              <w:right w:val="nil"/>
            </w:tcBorders>
            <w:shd w:val="clear" w:color="auto" w:fill="FFFFFF" w:themeFill="background1"/>
            <w:noWrap/>
            <w:vAlign w:val="bottom"/>
            <w:hideMark/>
          </w:tcPr>
          <w:p w14:paraId="47E82A92" w14:textId="77777777" w:rsidR="0039673B" w:rsidRPr="00DB20F6" w:rsidRDefault="0039673B" w:rsidP="00C07BA6">
            <w:pPr>
              <w:jc w:val="center"/>
              <w:rPr>
                <w:rFonts w:cstheme="minorHAnsi"/>
                <w:color w:val="000000"/>
                <w:sz w:val="16"/>
                <w:szCs w:val="16"/>
              </w:rPr>
            </w:pPr>
            <w:r w:rsidRPr="00DB20F6">
              <w:rPr>
                <w:color w:val="000000"/>
                <w:sz w:val="16"/>
              </w:rPr>
              <w:t>6m2022</w:t>
            </w:r>
          </w:p>
        </w:tc>
        <w:tc>
          <w:tcPr>
            <w:tcW w:w="859" w:type="dxa"/>
            <w:tcBorders>
              <w:top w:val="nil"/>
              <w:left w:val="nil"/>
              <w:bottom w:val="nil"/>
              <w:right w:val="nil"/>
            </w:tcBorders>
            <w:shd w:val="clear" w:color="auto" w:fill="FFFFFF" w:themeFill="background1"/>
            <w:noWrap/>
            <w:vAlign w:val="bottom"/>
            <w:hideMark/>
          </w:tcPr>
          <w:p w14:paraId="30B6092B" w14:textId="77777777" w:rsidR="0039673B" w:rsidRPr="00DB20F6" w:rsidRDefault="0039673B" w:rsidP="00C07BA6">
            <w:pPr>
              <w:jc w:val="center"/>
              <w:rPr>
                <w:rFonts w:cstheme="minorHAnsi"/>
                <w:color w:val="000000"/>
                <w:sz w:val="16"/>
                <w:szCs w:val="16"/>
              </w:rPr>
            </w:pPr>
            <w:r w:rsidRPr="00DB20F6">
              <w:rPr>
                <w:color w:val="000000"/>
                <w:sz w:val="16"/>
              </w:rPr>
              <w:t>6m2023</w:t>
            </w:r>
          </w:p>
        </w:tc>
        <w:tc>
          <w:tcPr>
            <w:tcW w:w="639" w:type="dxa"/>
            <w:tcBorders>
              <w:top w:val="nil"/>
              <w:left w:val="nil"/>
              <w:bottom w:val="nil"/>
              <w:right w:val="single" w:sz="4" w:space="0" w:color="auto"/>
            </w:tcBorders>
            <w:shd w:val="clear" w:color="auto" w:fill="FFFFFF" w:themeFill="background1"/>
            <w:noWrap/>
            <w:vAlign w:val="bottom"/>
            <w:hideMark/>
          </w:tcPr>
          <w:p w14:paraId="528A8033" w14:textId="77777777" w:rsidR="0039673B" w:rsidRPr="00DB20F6" w:rsidRDefault="0039673B" w:rsidP="00C07BA6">
            <w:pPr>
              <w:jc w:val="center"/>
              <w:rPr>
                <w:rFonts w:cstheme="minorHAnsi"/>
                <w:color w:val="000000"/>
                <w:sz w:val="16"/>
                <w:szCs w:val="16"/>
              </w:rPr>
            </w:pPr>
            <w:r w:rsidRPr="00DB20F6">
              <w:rPr>
                <w:color w:val="000000"/>
                <w:sz w:val="16"/>
              </w:rPr>
              <w:t>6m</w:t>
            </w:r>
          </w:p>
        </w:tc>
        <w:tc>
          <w:tcPr>
            <w:tcW w:w="1046" w:type="dxa"/>
            <w:tcBorders>
              <w:top w:val="nil"/>
              <w:left w:val="nil"/>
              <w:bottom w:val="nil"/>
              <w:right w:val="single" w:sz="4" w:space="0" w:color="auto"/>
            </w:tcBorders>
            <w:shd w:val="clear" w:color="auto" w:fill="FFFFFF" w:themeFill="background1"/>
            <w:noWrap/>
            <w:vAlign w:val="bottom"/>
            <w:hideMark/>
          </w:tcPr>
          <w:p w14:paraId="26650C9B" w14:textId="77777777" w:rsidR="0039673B" w:rsidRPr="00DB20F6" w:rsidRDefault="0039673B" w:rsidP="00C07BA6">
            <w:pPr>
              <w:jc w:val="center"/>
              <w:rPr>
                <w:rFonts w:cstheme="minorHAnsi"/>
                <w:color w:val="000000"/>
                <w:sz w:val="16"/>
                <w:szCs w:val="16"/>
              </w:rPr>
            </w:pPr>
            <w:r w:rsidRPr="00DB20F6">
              <w:rPr>
                <w:color w:val="000000"/>
                <w:sz w:val="16"/>
              </w:rPr>
              <w:t>6m2023</w:t>
            </w:r>
          </w:p>
        </w:tc>
      </w:tr>
      <w:tr w:rsidR="0039673B" w:rsidRPr="00DB20F6" w14:paraId="32536507" w14:textId="77777777" w:rsidTr="00C07BA6">
        <w:tc>
          <w:tcPr>
            <w:tcW w:w="1229"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015041E9" w14:textId="77777777" w:rsidR="0039673B" w:rsidRPr="00DB20F6" w:rsidRDefault="0039673B" w:rsidP="00C07BA6">
            <w:pPr>
              <w:rPr>
                <w:rFonts w:cstheme="minorHAnsi"/>
                <w:b/>
                <w:bCs/>
                <w:color w:val="000000"/>
                <w:sz w:val="16"/>
                <w:szCs w:val="16"/>
              </w:rPr>
            </w:pPr>
            <w:r w:rsidRPr="00DB20F6">
              <w:rPr>
                <w:b/>
                <w:color w:val="000000"/>
                <w:sz w:val="16"/>
              </w:rPr>
              <w:t>Pays</w:t>
            </w:r>
          </w:p>
        </w:tc>
        <w:tc>
          <w:tcPr>
            <w:tcW w:w="60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7EFD29F5" w14:textId="77777777" w:rsidR="0039673B" w:rsidRPr="00DB20F6" w:rsidRDefault="0039673B" w:rsidP="00C07BA6">
            <w:pPr>
              <w:jc w:val="center"/>
              <w:rPr>
                <w:rFonts w:cstheme="minorHAnsi"/>
                <w:color w:val="000000"/>
                <w:sz w:val="16"/>
                <w:szCs w:val="16"/>
              </w:rPr>
            </w:pPr>
            <w:r w:rsidRPr="00DB20F6">
              <w:rPr>
                <w:color w:val="000000"/>
                <w:sz w:val="16"/>
              </w:rPr>
              <w:t>en %</w:t>
            </w:r>
          </w:p>
        </w:tc>
        <w:tc>
          <w:tcPr>
            <w:tcW w:w="98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513FA38D" w14:textId="77777777" w:rsidR="0039673B" w:rsidRPr="00DB20F6" w:rsidRDefault="0039673B" w:rsidP="00C07BA6">
            <w:pPr>
              <w:jc w:val="center"/>
              <w:rPr>
                <w:rFonts w:cstheme="minorHAnsi"/>
                <w:color w:val="000000"/>
                <w:sz w:val="16"/>
                <w:szCs w:val="16"/>
              </w:rPr>
            </w:pPr>
            <w:r w:rsidRPr="00DB20F6">
              <w:rPr>
                <w:color w:val="000000"/>
                <w:sz w:val="16"/>
              </w:rPr>
              <w:t>1.000 EUR</w:t>
            </w:r>
          </w:p>
        </w:tc>
        <w:tc>
          <w:tcPr>
            <w:tcW w:w="98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11722DDE" w14:textId="77777777" w:rsidR="0039673B" w:rsidRPr="00DB20F6" w:rsidRDefault="0039673B" w:rsidP="00C07BA6">
            <w:pPr>
              <w:jc w:val="center"/>
              <w:rPr>
                <w:rFonts w:cstheme="minorHAnsi"/>
                <w:color w:val="000000"/>
                <w:sz w:val="16"/>
                <w:szCs w:val="16"/>
              </w:rPr>
            </w:pPr>
            <w:r w:rsidRPr="00DB20F6">
              <w:rPr>
                <w:color w:val="000000"/>
                <w:sz w:val="16"/>
              </w:rPr>
              <w:t>1.000 EUR</w:t>
            </w:r>
          </w:p>
        </w:tc>
        <w:tc>
          <w:tcPr>
            <w:tcW w:w="827" w:type="dxa"/>
            <w:tcBorders>
              <w:top w:val="nil"/>
              <w:left w:val="nil"/>
              <w:bottom w:val="single" w:sz="4" w:space="0" w:color="auto"/>
              <w:right w:val="single" w:sz="4" w:space="0" w:color="auto"/>
            </w:tcBorders>
            <w:shd w:val="clear" w:color="auto" w:fill="FFFFFF" w:themeFill="background1"/>
            <w:noWrap/>
            <w:vAlign w:val="bottom"/>
            <w:hideMark/>
          </w:tcPr>
          <w:p w14:paraId="645668BA" w14:textId="77777777" w:rsidR="0039673B" w:rsidRPr="00DB20F6" w:rsidRDefault="0039673B" w:rsidP="00C07BA6">
            <w:pPr>
              <w:jc w:val="center"/>
              <w:rPr>
                <w:rFonts w:cstheme="minorHAnsi"/>
                <w:color w:val="000000"/>
                <w:sz w:val="16"/>
                <w:szCs w:val="16"/>
              </w:rPr>
            </w:pPr>
            <w:r w:rsidRPr="00DB20F6">
              <w:rPr>
                <w:color w:val="000000"/>
                <w:sz w:val="16"/>
              </w:rPr>
              <w:t>22/21</w:t>
            </w:r>
          </w:p>
        </w:tc>
        <w:tc>
          <w:tcPr>
            <w:tcW w:w="786"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1FC818F" w14:textId="77777777" w:rsidR="0039673B" w:rsidRPr="00DB20F6" w:rsidRDefault="0039673B" w:rsidP="00C07BA6">
            <w:pPr>
              <w:jc w:val="center"/>
              <w:rPr>
                <w:rFonts w:cstheme="minorHAnsi"/>
                <w:color w:val="000000"/>
                <w:sz w:val="16"/>
                <w:szCs w:val="16"/>
              </w:rPr>
            </w:pPr>
            <w:r w:rsidRPr="00DB20F6">
              <w:rPr>
                <w:color w:val="000000"/>
                <w:sz w:val="16"/>
              </w:rPr>
              <w:t>en %</w:t>
            </w:r>
          </w:p>
        </w:tc>
        <w:tc>
          <w:tcPr>
            <w:tcW w:w="85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F032A8F" w14:textId="77777777" w:rsidR="0039673B" w:rsidRPr="00DB20F6" w:rsidRDefault="0039673B" w:rsidP="00C07BA6">
            <w:pPr>
              <w:jc w:val="center"/>
              <w:rPr>
                <w:rFonts w:cstheme="minorHAnsi"/>
                <w:color w:val="000000"/>
                <w:sz w:val="16"/>
                <w:szCs w:val="16"/>
              </w:rPr>
            </w:pPr>
            <w:r w:rsidRPr="00DB20F6">
              <w:rPr>
                <w:color w:val="000000"/>
                <w:sz w:val="16"/>
              </w:rPr>
              <w:t>1.000 EUR</w:t>
            </w:r>
          </w:p>
        </w:tc>
        <w:tc>
          <w:tcPr>
            <w:tcW w:w="85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7848119" w14:textId="77777777" w:rsidR="0039673B" w:rsidRPr="00DB20F6" w:rsidRDefault="0039673B" w:rsidP="00C07BA6">
            <w:pPr>
              <w:jc w:val="center"/>
              <w:rPr>
                <w:rFonts w:cstheme="minorHAnsi"/>
                <w:color w:val="000000"/>
                <w:sz w:val="16"/>
                <w:szCs w:val="16"/>
              </w:rPr>
            </w:pPr>
            <w:r w:rsidRPr="00DB20F6">
              <w:rPr>
                <w:color w:val="000000"/>
                <w:sz w:val="16"/>
              </w:rPr>
              <w:t>1.000 EUR</w:t>
            </w:r>
          </w:p>
        </w:tc>
        <w:tc>
          <w:tcPr>
            <w:tcW w:w="639" w:type="dxa"/>
            <w:tcBorders>
              <w:top w:val="nil"/>
              <w:left w:val="nil"/>
              <w:bottom w:val="single" w:sz="4" w:space="0" w:color="auto"/>
              <w:right w:val="single" w:sz="4" w:space="0" w:color="auto"/>
            </w:tcBorders>
            <w:shd w:val="clear" w:color="auto" w:fill="FFFFFF" w:themeFill="background1"/>
            <w:noWrap/>
            <w:vAlign w:val="bottom"/>
            <w:hideMark/>
          </w:tcPr>
          <w:p w14:paraId="21596B0F" w14:textId="77777777" w:rsidR="0039673B" w:rsidRPr="00DB20F6" w:rsidRDefault="0039673B" w:rsidP="00C07BA6">
            <w:pPr>
              <w:jc w:val="center"/>
              <w:rPr>
                <w:rFonts w:cstheme="minorHAnsi"/>
                <w:color w:val="000000"/>
                <w:sz w:val="16"/>
                <w:szCs w:val="16"/>
              </w:rPr>
            </w:pPr>
            <w:r w:rsidRPr="00DB20F6">
              <w:rPr>
                <w:color w:val="000000"/>
                <w:sz w:val="16"/>
              </w:rPr>
              <w:t>22/21</w:t>
            </w:r>
          </w:p>
        </w:tc>
        <w:tc>
          <w:tcPr>
            <w:tcW w:w="1046"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7E6CE328" w14:textId="77777777" w:rsidR="0039673B" w:rsidRPr="00DB20F6" w:rsidRDefault="0039673B" w:rsidP="00C07BA6">
            <w:pPr>
              <w:jc w:val="center"/>
              <w:rPr>
                <w:rFonts w:cstheme="minorHAnsi"/>
                <w:color w:val="000000"/>
                <w:sz w:val="16"/>
                <w:szCs w:val="16"/>
              </w:rPr>
            </w:pPr>
            <w:r w:rsidRPr="00DB20F6">
              <w:rPr>
                <w:color w:val="000000"/>
                <w:sz w:val="16"/>
              </w:rPr>
              <w:t>(</w:t>
            </w:r>
            <w:proofErr w:type="spellStart"/>
            <w:r w:rsidRPr="00DB20F6">
              <w:rPr>
                <w:color w:val="000000"/>
                <w:sz w:val="16"/>
              </w:rPr>
              <w:t>Exp</w:t>
            </w:r>
            <w:proofErr w:type="spellEnd"/>
            <w:r w:rsidRPr="00DB20F6">
              <w:rPr>
                <w:color w:val="000000"/>
                <w:sz w:val="16"/>
              </w:rPr>
              <w:t>/</w:t>
            </w:r>
            <w:proofErr w:type="spellStart"/>
            <w:r w:rsidRPr="00DB20F6">
              <w:rPr>
                <w:color w:val="000000"/>
                <w:sz w:val="16"/>
              </w:rPr>
              <w:t>imp</w:t>
            </w:r>
            <w:proofErr w:type="spellEnd"/>
            <w:r w:rsidRPr="00DB20F6">
              <w:rPr>
                <w:color w:val="000000"/>
                <w:sz w:val="16"/>
              </w:rPr>
              <w:t>)</w:t>
            </w:r>
          </w:p>
        </w:tc>
      </w:tr>
      <w:tr w:rsidR="0039673B" w:rsidRPr="00DB20F6" w14:paraId="3E05281A" w14:textId="77777777" w:rsidTr="00C07BA6">
        <w:tc>
          <w:tcPr>
            <w:tcW w:w="1229"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44577BCF" w14:textId="77777777" w:rsidR="0039673B" w:rsidRPr="00DB20F6" w:rsidRDefault="0039673B" w:rsidP="00C07BA6">
            <w:pPr>
              <w:rPr>
                <w:rFonts w:cstheme="minorHAnsi"/>
                <w:color w:val="000000"/>
                <w:sz w:val="16"/>
                <w:szCs w:val="16"/>
              </w:rPr>
            </w:pPr>
            <w:r w:rsidRPr="00DB20F6">
              <w:rPr>
                <w:color w:val="000000"/>
                <w:sz w:val="16"/>
              </w:rPr>
              <w:t>France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B358BDD" w14:textId="77777777" w:rsidR="0039673B" w:rsidRPr="00DB20F6" w:rsidRDefault="0039673B" w:rsidP="00C07BA6">
            <w:pPr>
              <w:jc w:val="right"/>
              <w:rPr>
                <w:rFonts w:cstheme="minorHAnsi"/>
                <w:color w:val="000000"/>
                <w:sz w:val="16"/>
                <w:szCs w:val="16"/>
              </w:rPr>
            </w:pPr>
            <w:r w:rsidRPr="00DB20F6">
              <w:rPr>
                <w:color w:val="000000"/>
                <w:sz w:val="16"/>
              </w:rPr>
              <w:t>6,1</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00438B0F" w14:textId="77777777" w:rsidR="0039673B" w:rsidRPr="00DB20F6" w:rsidRDefault="0039673B" w:rsidP="00C07BA6">
            <w:pPr>
              <w:jc w:val="right"/>
              <w:rPr>
                <w:rFonts w:cstheme="minorHAnsi"/>
                <w:color w:val="000000"/>
                <w:sz w:val="16"/>
                <w:szCs w:val="16"/>
              </w:rPr>
            </w:pPr>
            <w:r w:rsidRPr="00DB20F6">
              <w:rPr>
                <w:color w:val="000000"/>
                <w:sz w:val="16"/>
              </w:rPr>
              <w:t>82.346,5</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3A3A75F9" w14:textId="77777777" w:rsidR="0039673B" w:rsidRPr="00DB20F6" w:rsidRDefault="0039673B" w:rsidP="00C07BA6">
            <w:pPr>
              <w:jc w:val="right"/>
              <w:rPr>
                <w:rFonts w:cstheme="minorHAnsi"/>
                <w:color w:val="000000"/>
                <w:sz w:val="16"/>
                <w:szCs w:val="16"/>
              </w:rPr>
            </w:pPr>
            <w:r w:rsidRPr="00DB20F6">
              <w:rPr>
                <w:color w:val="000000"/>
                <w:sz w:val="16"/>
              </w:rPr>
              <w:t>74.058,1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FCC9BC9" w14:textId="77777777" w:rsidR="0039673B" w:rsidRPr="00DB20F6" w:rsidRDefault="0039673B" w:rsidP="00C07BA6">
            <w:pPr>
              <w:jc w:val="right"/>
              <w:rPr>
                <w:rFonts w:cstheme="minorHAnsi"/>
                <w:color w:val="000000"/>
                <w:sz w:val="16"/>
                <w:szCs w:val="16"/>
              </w:rPr>
            </w:pPr>
            <w:r w:rsidRPr="00DB20F6">
              <w:rPr>
                <w:color w:val="000000"/>
                <w:sz w:val="16"/>
              </w:rPr>
              <w:t>-10,1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815D71" w14:textId="77777777" w:rsidR="0039673B" w:rsidRPr="00DB20F6" w:rsidRDefault="0039673B" w:rsidP="00C07BA6">
            <w:pPr>
              <w:jc w:val="right"/>
              <w:rPr>
                <w:rFonts w:cstheme="minorHAnsi"/>
                <w:color w:val="000000"/>
                <w:sz w:val="16"/>
                <w:szCs w:val="16"/>
              </w:rPr>
            </w:pPr>
            <w:r w:rsidRPr="00DB20F6">
              <w:rPr>
                <w:color w:val="000000"/>
                <w:sz w:val="16"/>
              </w:rPr>
              <w:t>34,3</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58EA6F6C" w14:textId="77777777" w:rsidR="0039673B" w:rsidRPr="00DB20F6" w:rsidRDefault="0039673B" w:rsidP="00C07BA6">
            <w:pPr>
              <w:jc w:val="right"/>
              <w:rPr>
                <w:rFonts w:cstheme="minorHAnsi"/>
                <w:color w:val="000000"/>
                <w:sz w:val="16"/>
                <w:szCs w:val="16"/>
              </w:rPr>
            </w:pPr>
            <w:r w:rsidRPr="00DB20F6">
              <w:rPr>
                <w:color w:val="000000"/>
                <w:sz w:val="16"/>
              </w:rPr>
              <w:t>359.564,3</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34C164FE" w14:textId="77777777" w:rsidR="0039673B" w:rsidRPr="00DB20F6" w:rsidRDefault="0039673B" w:rsidP="00C07BA6">
            <w:pPr>
              <w:jc w:val="right"/>
              <w:rPr>
                <w:rFonts w:cstheme="minorHAnsi"/>
                <w:color w:val="000000"/>
                <w:sz w:val="16"/>
                <w:szCs w:val="16"/>
              </w:rPr>
            </w:pPr>
            <w:r w:rsidRPr="00DB20F6">
              <w:rPr>
                <w:color w:val="000000"/>
                <w:sz w:val="16"/>
              </w:rPr>
              <w:t>274.911,1</w:t>
            </w:r>
          </w:p>
        </w:tc>
        <w:tc>
          <w:tcPr>
            <w:tcW w:w="639" w:type="dxa"/>
            <w:tcBorders>
              <w:top w:val="nil"/>
              <w:left w:val="nil"/>
              <w:bottom w:val="single" w:sz="4" w:space="0" w:color="FFFFFF" w:themeColor="background1"/>
              <w:right w:val="nil"/>
            </w:tcBorders>
            <w:shd w:val="clear" w:color="auto" w:fill="auto"/>
            <w:noWrap/>
            <w:vAlign w:val="bottom"/>
            <w:hideMark/>
          </w:tcPr>
          <w:p w14:paraId="7A4C272E" w14:textId="77777777" w:rsidR="0039673B" w:rsidRPr="00DB20F6" w:rsidRDefault="0039673B" w:rsidP="00C07BA6">
            <w:pPr>
              <w:jc w:val="right"/>
              <w:rPr>
                <w:rFonts w:cstheme="minorHAnsi"/>
                <w:color w:val="000000"/>
                <w:sz w:val="16"/>
                <w:szCs w:val="16"/>
              </w:rPr>
            </w:pPr>
            <w:r w:rsidRPr="00DB20F6">
              <w:rPr>
                <w:color w:val="000000"/>
                <w:sz w:val="16"/>
              </w:rPr>
              <w:t>-23,5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68817C8" w14:textId="77777777" w:rsidR="0039673B" w:rsidRPr="00DB20F6" w:rsidRDefault="0039673B" w:rsidP="00C07BA6">
            <w:pPr>
              <w:jc w:val="right"/>
              <w:rPr>
                <w:rFonts w:cstheme="minorHAnsi"/>
                <w:color w:val="000000"/>
                <w:sz w:val="16"/>
                <w:szCs w:val="16"/>
              </w:rPr>
            </w:pPr>
            <w:r w:rsidRPr="00DB20F6">
              <w:rPr>
                <w:color w:val="000000"/>
                <w:sz w:val="16"/>
              </w:rPr>
              <w:t>371,2</w:t>
            </w:r>
          </w:p>
        </w:tc>
      </w:tr>
      <w:tr w:rsidR="0039673B" w:rsidRPr="00DB20F6" w14:paraId="23C004DD"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6E03C1E" w14:textId="77777777" w:rsidR="0039673B" w:rsidRPr="00DB20F6" w:rsidRDefault="0039673B" w:rsidP="00C07BA6">
            <w:pPr>
              <w:rPr>
                <w:rFonts w:cstheme="minorHAnsi"/>
                <w:color w:val="000000"/>
                <w:sz w:val="16"/>
                <w:szCs w:val="16"/>
              </w:rPr>
            </w:pPr>
            <w:r w:rsidRPr="00DB20F6">
              <w:rPr>
                <w:color w:val="000000"/>
                <w:sz w:val="16"/>
              </w:rPr>
              <w:t>Pays-Bas</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36F4076" w14:textId="77777777" w:rsidR="0039673B" w:rsidRPr="00DB20F6" w:rsidRDefault="0039673B" w:rsidP="00C07BA6">
            <w:pPr>
              <w:jc w:val="right"/>
              <w:rPr>
                <w:rFonts w:cstheme="minorHAnsi"/>
                <w:color w:val="000000"/>
                <w:sz w:val="16"/>
                <w:szCs w:val="16"/>
              </w:rPr>
            </w:pPr>
            <w:r w:rsidRPr="00DB20F6">
              <w:rPr>
                <w:color w:val="000000"/>
                <w:sz w:val="16"/>
              </w:rPr>
              <w:t>16,5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E08C87C" w14:textId="77777777" w:rsidR="0039673B" w:rsidRPr="00DB20F6" w:rsidRDefault="0039673B" w:rsidP="00C07BA6">
            <w:pPr>
              <w:jc w:val="right"/>
              <w:rPr>
                <w:rFonts w:cstheme="minorHAnsi"/>
                <w:color w:val="000000"/>
                <w:sz w:val="16"/>
                <w:szCs w:val="16"/>
              </w:rPr>
            </w:pPr>
            <w:r w:rsidRPr="00DB20F6">
              <w:rPr>
                <w:color w:val="000000"/>
                <w:sz w:val="16"/>
              </w:rPr>
              <w:t>201.719,8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FFF9D0" w14:textId="77777777" w:rsidR="0039673B" w:rsidRPr="00DB20F6" w:rsidRDefault="0039673B" w:rsidP="00C07BA6">
            <w:pPr>
              <w:jc w:val="right"/>
              <w:rPr>
                <w:rFonts w:cstheme="minorHAnsi"/>
                <w:color w:val="000000"/>
                <w:sz w:val="16"/>
                <w:szCs w:val="16"/>
              </w:rPr>
            </w:pPr>
            <w:r w:rsidRPr="00DB20F6">
              <w:rPr>
                <w:color w:val="000000"/>
                <w:sz w:val="16"/>
              </w:rPr>
              <w:t>200.668,2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41F8650" w14:textId="77777777" w:rsidR="0039673B" w:rsidRPr="00DB20F6" w:rsidRDefault="0039673B" w:rsidP="00C07BA6">
            <w:pPr>
              <w:jc w:val="right"/>
              <w:rPr>
                <w:rFonts w:cstheme="minorHAnsi"/>
                <w:color w:val="000000"/>
                <w:sz w:val="16"/>
                <w:szCs w:val="16"/>
              </w:rPr>
            </w:pPr>
            <w:r w:rsidRPr="00DB20F6">
              <w:rPr>
                <w:color w:val="000000"/>
                <w:sz w:val="16"/>
              </w:rPr>
              <w:t>-0,5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709E87" w14:textId="77777777" w:rsidR="0039673B" w:rsidRPr="00DB20F6" w:rsidRDefault="0039673B" w:rsidP="00C07BA6">
            <w:pPr>
              <w:jc w:val="right"/>
              <w:rPr>
                <w:rFonts w:cstheme="minorHAnsi"/>
                <w:color w:val="000000"/>
                <w:sz w:val="16"/>
                <w:szCs w:val="16"/>
              </w:rPr>
            </w:pPr>
            <w:r w:rsidRPr="00DB20F6">
              <w:rPr>
                <w:color w:val="000000"/>
                <w:sz w:val="16"/>
              </w:rPr>
              <w:t>24,9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7E775D" w14:textId="77777777" w:rsidR="0039673B" w:rsidRPr="00DB20F6" w:rsidRDefault="0039673B" w:rsidP="00C07BA6">
            <w:pPr>
              <w:jc w:val="right"/>
              <w:rPr>
                <w:rFonts w:cstheme="minorHAnsi"/>
                <w:color w:val="000000"/>
                <w:sz w:val="16"/>
                <w:szCs w:val="16"/>
              </w:rPr>
            </w:pPr>
            <w:r w:rsidRPr="00DB20F6">
              <w:rPr>
                <w:color w:val="000000"/>
                <w:sz w:val="16"/>
              </w:rPr>
              <w:t>216.704,5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B5E7DB" w14:textId="77777777" w:rsidR="0039673B" w:rsidRPr="00DB20F6" w:rsidRDefault="0039673B" w:rsidP="00C07BA6">
            <w:pPr>
              <w:jc w:val="right"/>
              <w:rPr>
                <w:rFonts w:cstheme="minorHAnsi"/>
                <w:color w:val="000000"/>
                <w:sz w:val="16"/>
                <w:szCs w:val="16"/>
              </w:rPr>
            </w:pPr>
            <w:r w:rsidRPr="00DB20F6">
              <w:rPr>
                <w:color w:val="000000"/>
                <w:sz w:val="16"/>
              </w:rPr>
              <w:t>199.773,2</w:t>
            </w:r>
          </w:p>
        </w:tc>
        <w:tc>
          <w:tcPr>
            <w:tcW w:w="639" w:type="dxa"/>
            <w:tcBorders>
              <w:top w:val="nil"/>
              <w:left w:val="nil"/>
              <w:bottom w:val="single" w:sz="4" w:space="0" w:color="FFFFFF" w:themeColor="background1"/>
              <w:right w:val="nil"/>
            </w:tcBorders>
            <w:shd w:val="clear" w:color="auto" w:fill="auto"/>
            <w:noWrap/>
            <w:vAlign w:val="bottom"/>
            <w:hideMark/>
          </w:tcPr>
          <w:p w14:paraId="4E8C7175" w14:textId="77777777" w:rsidR="0039673B" w:rsidRPr="00DB20F6" w:rsidRDefault="0039673B" w:rsidP="00C07BA6">
            <w:pPr>
              <w:jc w:val="right"/>
              <w:rPr>
                <w:rFonts w:cstheme="minorHAnsi"/>
                <w:color w:val="000000"/>
                <w:sz w:val="16"/>
                <w:szCs w:val="16"/>
              </w:rPr>
            </w:pPr>
            <w:r w:rsidRPr="00DB20F6">
              <w:rPr>
                <w:color w:val="000000"/>
                <w:sz w:val="16"/>
              </w:rPr>
              <w:t>-7,8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CE9787B" w14:textId="77777777" w:rsidR="0039673B" w:rsidRPr="00DB20F6" w:rsidRDefault="0039673B" w:rsidP="00C07BA6">
            <w:pPr>
              <w:jc w:val="right"/>
              <w:rPr>
                <w:rFonts w:cstheme="minorHAnsi"/>
                <w:color w:val="000000"/>
                <w:sz w:val="16"/>
                <w:szCs w:val="16"/>
              </w:rPr>
            </w:pPr>
            <w:r w:rsidRPr="00DB20F6">
              <w:rPr>
                <w:color w:val="000000"/>
                <w:sz w:val="16"/>
              </w:rPr>
              <w:t>99,6</w:t>
            </w:r>
          </w:p>
        </w:tc>
      </w:tr>
      <w:tr w:rsidR="0039673B" w:rsidRPr="00DB20F6" w14:paraId="1174D46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88767A2" w14:textId="77777777" w:rsidR="0039673B" w:rsidRPr="00DB20F6" w:rsidRDefault="0039673B" w:rsidP="00C07BA6">
            <w:pPr>
              <w:rPr>
                <w:rFonts w:cstheme="minorHAnsi"/>
                <w:color w:val="000000"/>
                <w:sz w:val="16"/>
                <w:szCs w:val="16"/>
              </w:rPr>
            </w:pPr>
            <w:r w:rsidRPr="00DB20F6">
              <w:rPr>
                <w:color w:val="000000"/>
                <w:sz w:val="16"/>
              </w:rPr>
              <w:t>Allemagne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D9F610F" w14:textId="77777777" w:rsidR="0039673B" w:rsidRPr="00DB20F6" w:rsidRDefault="0039673B" w:rsidP="00C07BA6">
            <w:pPr>
              <w:jc w:val="right"/>
              <w:rPr>
                <w:rFonts w:cstheme="minorHAnsi"/>
                <w:color w:val="000000"/>
                <w:sz w:val="16"/>
                <w:szCs w:val="16"/>
              </w:rPr>
            </w:pPr>
            <w:r w:rsidRPr="00DB20F6">
              <w:rPr>
                <w:color w:val="000000"/>
                <w:sz w:val="16"/>
              </w:rPr>
              <w:t>13,5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65B4090" w14:textId="77777777" w:rsidR="0039673B" w:rsidRPr="00DB20F6" w:rsidRDefault="0039673B" w:rsidP="00C07BA6">
            <w:pPr>
              <w:jc w:val="right"/>
              <w:rPr>
                <w:rFonts w:cstheme="minorHAnsi"/>
                <w:color w:val="000000"/>
                <w:sz w:val="16"/>
                <w:szCs w:val="16"/>
              </w:rPr>
            </w:pPr>
            <w:r w:rsidRPr="00DB20F6">
              <w:rPr>
                <w:color w:val="000000"/>
                <w:sz w:val="16"/>
              </w:rPr>
              <w:t>169.514,6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5C88C0E" w14:textId="77777777" w:rsidR="0039673B" w:rsidRPr="00DB20F6" w:rsidRDefault="0039673B" w:rsidP="00C07BA6">
            <w:pPr>
              <w:jc w:val="right"/>
              <w:rPr>
                <w:rFonts w:cstheme="minorHAnsi"/>
                <w:color w:val="000000"/>
                <w:sz w:val="16"/>
                <w:szCs w:val="16"/>
              </w:rPr>
            </w:pPr>
            <w:r w:rsidRPr="00DB20F6">
              <w:rPr>
                <w:color w:val="000000"/>
                <w:sz w:val="16"/>
              </w:rPr>
              <w:t>164.180,7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9B1FAAF" w14:textId="77777777" w:rsidR="0039673B" w:rsidRPr="00DB20F6" w:rsidRDefault="0039673B" w:rsidP="00C07BA6">
            <w:pPr>
              <w:jc w:val="right"/>
              <w:rPr>
                <w:rFonts w:cstheme="minorHAnsi"/>
                <w:color w:val="000000"/>
                <w:sz w:val="16"/>
                <w:szCs w:val="16"/>
              </w:rPr>
            </w:pPr>
            <w:r w:rsidRPr="00DB20F6">
              <w:rPr>
                <w:color w:val="000000"/>
                <w:sz w:val="16"/>
              </w:rPr>
              <w:t>-3,1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EAE052" w14:textId="77777777" w:rsidR="0039673B" w:rsidRPr="00DB20F6" w:rsidRDefault="0039673B" w:rsidP="00C07BA6">
            <w:pPr>
              <w:jc w:val="right"/>
              <w:rPr>
                <w:rFonts w:cstheme="minorHAnsi"/>
                <w:color w:val="000000"/>
                <w:sz w:val="16"/>
                <w:szCs w:val="16"/>
              </w:rPr>
            </w:pPr>
            <w:r w:rsidRPr="00DB20F6">
              <w:rPr>
                <w:color w:val="000000"/>
                <w:sz w:val="16"/>
              </w:rPr>
              <w:t>16,1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AC6DF9" w14:textId="77777777" w:rsidR="0039673B" w:rsidRPr="00DB20F6" w:rsidRDefault="0039673B" w:rsidP="00C07BA6">
            <w:pPr>
              <w:jc w:val="right"/>
              <w:rPr>
                <w:rFonts w:cstheme="minorHAnsi"/>
                <w:color w:val="000000"/>
                <w:sz w:val="16"/>
                <w:szCs w:val="16"/>
              </w:rPr>
            </w:pPr>
            <w:r w:rsidRPr="00DB20F6">
              <w:rPr>
                <w:color w:val="000000"/>
                <w:sz w:val="16"/>
              </w:rPr>
              <w:t>142.238,2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03CE89" w14:textId="77777777" w:rsidR="0039673B" w:rsidRPr="00DB20F6" w:rsidRDefault="0039673B" w:rsidP="00C07BA6">
            <w:pPr>
              <w:jc w:val="right"/>
              <w:rPr>
                <w:rFonts w:cstheme="minorHAnsi"/>
                <w:color w:val="000000"/>
                <w:sz w:val="16"/>
                <w:szCs w:val="16"/>
              </w:rPr>
            </w:pPr>
            <w:r w:rsidRPr="00DB20F6">
              <w:rPr>
                <w:color w:val="000000"/>
                <w:sz w:val="16"/>
              </w:rPr>
              <w:t>129.016,2</w:t>
            </w:r>
          </w:p>
        </w:tc>
        <w:tc>
          <w:tcPr>
            <w:tcW w:w="639" w:type="dxa"/>
            <w:tcBorders>
              <w:top w:val="nil"/>
              <w:left w:val="nil"/>
              <w:bottom w:val="single" w:sz="4" w:space="0" w:color="FFFFFF" w:themeColor="background1"/>
              <w:right w:val="nil"/>
            </w:tcBorders>
            <w:shd w:val="clear" w:color="auto" w:fill="auto"/>
            <w:noWrap/>
            <w:vAlign w:val="bottom"/>
            <w:hideMark/>
          </w:tcPr>
          <w:p w14:paraId="631738F5" w14:textId="77777777" w:rsidR="0039673B" w:rsidRPr="00DB20F6" w:rsidRDefault="0039673B" w:rsidP="00C07BA6">
            <w:pPr>
              <w:jc w:val="right"/>
              <w:rPr>
                <w:rFonts w:cstheme="minorHAnsi"/>
                <w:color w:val="000000"/>
                <w:sz w:val="16"/>
                <w:szCs w:val="16"/>
              </w:rPr>
            </w:pPr>
            <w:r w:rsidRPr="00DB20F6">
              <w:rPr>
                <w:color w:val="000000"/>
                <w:sz w:val="16"/>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CF0EB05" w14:textId="77777777" w:rsidR="0039673B" w:rsidRPr="00DB20F6" w:rsidRDefault="0039673B" w:rsidP="00C07BA6">
            <w:pPr>
              <w:jc w:val="right"/>
              <w:rPr>
                <w:rFonts w:cstheme="minorHAnsi"/>
                <w:color w:val="000000"/>
                <w:sz w:val="16"/>
                <w:szCs w:val="16"/>
              </w:rPr>
            </w:pPr>
            <w:r w:rsidRPr="00DB20F6">
              <w:rPr>
                <w:color w:val="000000"/>
                <w:sz w:val="16"/>
              </w:rPr>
              <w:t>78,6</w:t>
            </w:r>
          </w:p>
        </w:tc>
      </w:tr>
      <w:tr w:rsidR="0039673B" w:rsidRPr="00DB20F6" w14:paraId="2635FE27"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A04D54C" w14:textId="77777777" w:rsidR="0039673B" w:rsidRPr="00DB20F6" w:rsidRDefault="0039673B" w:rsidP="00C07BA6">
            <w:pPr>
              <w:rPr>
                <w:rFonts w:cstheme="minorHAnsi"/>
                <w:color w:val="000000"/>
                <w:sz w:val="16"/>
                <w:szCs w:val="16"/>
              </w:rPr>
            </w:pPr>
            <w:r w:rsidRPr="00DB20F6">
              <w:rPr>
                <w:color w:val="000000"/>
                <w:sz w:val="16"/>
              </w:rPr>
              <w:t>Espagne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6779DB3" w14:textId="77777777" w:rsidR="0039673B" w:rsidRPr="00DB20F6" w:rsidRDefault="0039673B" w:rsidP="00C07BA6">
            <w:pPr>
              <w:jc w:val="right"/>
              <w:rPr>
                <w:rFonts w:cstheme="minorHAnsi"/>
                <w:color w:val="000000"/>
                <w:sz w:val="16"/>
                <w:szCs w:val="16"/>
              </w:rPr>
            </w:pPr>
            <w:r w:rsidRPr="00DB20F6">
              <w:rPr>
                <w:color w:val="000000"/>
                <w:sz w:val="16"/>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5E9B4BF" w14:textId="77777777" w:rsidR="0039673B" w:rsidRPr="00DB20F6" w:rsidRDefault="0039673B" w:rsidP="00C07BA6">
            <w:pPr>
              <w:jc w:val="right"/>
              <w:rPr>
                <w:rFonts w:cstheme="minorHAnsi"/>
                <w:color w:val="000000"/>
                <w:sz w:val="16"/>
                <w:szCs w:val="16"/>
              </w:rPr>
            </w:pPr>
            <w:r w:rsidRPr="00DB20F6">
              <w:rPr>
                <w:color w:val="000000"/>
                <w:sz w:val="16"/>
              </w:rPr>
              <w:t>10.122,6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1C7B943" w14:textId="77777777" w:rsidR="0039673B" w:rsidRPr="00DB20F6" w:rsidRDefault="0039673B" w:rsidP="00C07BA6">
            <w:pPr>
              <w:jc w:val="right"/>
              <w:rPr>
                <w:rFonts w:cstheme="minorHAnsi"/>
                <w:color w:val="000000"/>
                <w:sz w:val="16"/>
                <w:szCs w:val="16"/>
              </w:rPr>
            </w:pPr>
            <w:r w:rsidRPr="00DB20F6">
              <w:rPr>
                <w:color w:val="000000"/>
                <w:sz w:val="16"/>
              </w:rPr>
              <w:t>11.100,6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61B09D2" w14:textId="77777777" w:rsidR="0039673B" w:rsidRPr="00DB20F6" w:rsidRDefault="0039673B" w:rsidP="00C07BA6">
            <w:pPr>
              <w:jc w:val="right"/>
              <w:rPr>
                <w:rFonts w:cstheme="minorHAnsi"/>
                <w:color w:val="000000"/>
                <w:sz w:val="16"/>
                <w:szCs w:val="16"/>
              </w:rPr>
            </w:pPr>
            <w:r w:rsidRPr="00DB20F6">
              <w:rPr>
                <w:color w:val="000000"/>
                <w:sz w:val="16"/>
              </w:rPr>
              <w:t>9,7</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5485E5" w14:textId="77777777" w:rsidR="0039673B" w:rsidRPr="00DB20F6" w:rsidRDefault="0039673B" w:rsidP="00C07BA6">
            <w:pPr>
              <w:jc w:val="right"/>
              <w:rPr>
                <w:rFonts w:cstheme="minorHAnsi"/>
                <w:color w:val="000000"/>
                <w:sz w:val="16"/>
                <w:szCs w:val="16"/>
              </w:rPr>
            </w:pPr>
            <w:r w:rsidRPr="00DB20F6">
              <w:rPr>
                <w:color w:val="000000"/>
                <w:sz w:val="16"/>
              </w:rPr>
              <w:t>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A17C68" w14:textId="77777777" w:rsidR="0039673B" w:rsidRPr="00DB20F6" w:rsidRDefault="0039673B" w:rsidP="00C07BA6">
            <w:pPr>
              <w:jc w:val="right"/>
              <w:rPr>
                <w:rFonts w:cstheme="minorHAnsi"/>
                <w:color w:val="000000"/>
                <w:sz w:val="16"/>
                <w:szCs w:val="16"/>
              </w:rPr>
            </w:pPr>
            <w:r w:rsidRPr="00DB20F6">
              <w:rPr>
                <w:color w:val="000000"/>
                <w:sz w:val="16"/>
              </w:rPr>
              <w:t>14.194,5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2E6FEE" w14:textId="77777777" w:rsidR="0039673B" w:rsidRPr="00DB20F6" w:rsidRDefault="0039673B" w:rsidP="00C07BA6">
            <w:pPr>
              <w:jc w:val="right"/>
              <w:rPr>
                <w:rFonts w:cstheme="minorHAnsi"/>
                <w:color w:val="000000"/>
                <w:sz w:val="16"/>
                <w:szCs w:val="16"/>
              </w:rPr>
            </w:pPr>
            <w:r w:rsidRPr="00DB20F6">
              <w:rPr>
                <w:color w:val="000000"/>
                <w:sz w:val="16"/>
              </w:rPr>
              <w:t>20.505,8</w:t>
            </w:r>
          </w:p>
        </w:tc>
        <w:tc>
          <w:tcPr>
            <w:tcW w:w="639" w:type="dxa"/>
            <w:tcBorders>
              <w:top w:val="nil"/>
              <w:left w:val="nil"/>
              <w:bottom w:val="single" w:sz="4" w:space="0" w:color="FFFFFF" w:themeColor="background1"/>
              <w:right w:val="nil"/>
            </w:tcBorders>
            <w:shd w:val="clear" w:color="auto" w:fill="auto"/>
            <w:noWrap/>
            <w:vAlign w:val="bottom"/>
            <w:hideMark/>
          </w:tcPr>
          <w:p w14:paraId="7188E89B" w14:textId="77777777" w:rsidR="0039673B" w:rsidRPr="00DB20F6" w:rsidRDefault="0039673B" w:rsidP="00C07BA6">
            <w:pPr>
              <w:jc w:val="right"/>
              <w:rPr>
                <w:rFonts w:cstheme="minorHAnsi"/>
                <w:color w:val="000000"/>
                <w:sz w:val="16"/>
                <w:szCs w:val="16"/>
              </w:rPr>
            </w:pPr>
            <w:r w:rsidRPr="00DB20F6">
              <w:rPr>
                <w:color w:val="000000"/>
                <w:sz w:val="16"/>
              </w:rPr>
              <w:t>44,5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C5078C6" w14:textId="77777777" w:rsidR="0039673B" w:rsidRPr="00DB20F6" w:rsidRDefault="0039673B" w:rsidP="00C07BA6">
            <w:pPr>
              <w:jc w:val="right"/>
              <w:rPr>
                <w:rFonts w:cstheme="minorHAnsi"/>
                <w:color w:val="000000"/>
                <w:sz w:val="16"/>
                <w:szCs w:val="16"/>
              </w:rPr>
            </w:pPr>
            <w:r w:rsidRPr="00DB20F6">
              <w:rPr>
                <w:color w:val="000000"/>
                <w:sz w:val="16"/>
              </w:rPr>
              <w:t>184,7</w:t>
            </w:r>
          </w:p>
        </w:tc>
      </w:tr>
      <w:tr w:rsidR="0039673B" w:rsidRPr="00DB20F6" w14:paraId="3B25F0FC"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063D6D1" w14:textId="77777777" w:rsidR="0039673B" w:rsidRPr="00DB20F6" w:rsidRDefault="0039673B" w:rsidP="00C07BA6">
            <w:pPr>
              <w:rPr>
                <w:rFonts w:cstheme="minorHAnsi"/>
                <w:color w:val="000000"/>
                <w:sz w:val="16"/>
                <w:szCs w:val="16"/>
              </w:rPr>
            </w:pPr>
            <w:r w:rsidRPr="00DB20F6">
              <w:rPr>
                <w:color w:val="000000"/>
                <w:sz w:val="16"/>
              </w:rPr>
              <w:t>Italie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134CFB1" w14:textId="77777777" w:rsidR="0039673B" w:rsidRPr="00DB20F6" w:rsidRDefault="0039673B" w:rsidP="00C07BA6">
            <w:pPr>
              <w:jc w:val="right"/>
              <w:rPr>
                <w:rFonts w:cstheme="minorHAnsi"/>
                <w:color w:val="000000"/>
                <w:sz w:val="16"/>
                <w:szCs w:val="16"/>
              </w:rPr>
            </w:pPr>
            <w:r w:rsidRPr="00DB20F6">
              <w:rPr>
                <w:color w:val="000000"/>
                <w:sz w:val="16"/>
              </w:rPr>
              <w:t>6,4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21082E2" w14:textId="77777777" w:rsidR="0039673B" w:rsidRPr="00DB20F6" w:rsidRDefault="0039673B" w:rsidP="00C07BA6">
            <w:pPr>
              <w:jc w:val="right"/>
              <w:rPr>
                <w:rFonts w:cstheme="minorHAnsi"/>
                <w:color w:val="000000"/>
                <w:sz w:val="16"/>
                <w:szCs w:val="16"/>
              </w:rPr>
            </w:pPr>
            <w:r w:rsidRPr="00DB20F6">
              <w:rPr>
                <w:color w:val="000000"/>
                <w:sz w:val="16"/>
              </w:rPr>
              <w:t>83.746,9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E79E82E" w14:textId="77777777" w:rsidR="0039673B" w:rsidRPr="00DB20F6" w:rsidRDefault="0039673B" w:rsidP="00C07BA6">
            <w:pPr>
              <w:jc w:val="right"/>
              <w:rPr>
                <w:rFonts w:cstheme="minorHAnsi"/>
                <w:color w:val="000000"/>
                <w:sz w:val="16"/>
                <w:szCs w:val="16"/>
              </w:rPr>
            </w:pPr>
            <w:r w:rsidRPr="00DB20F6">
              <w:rPr>
                <w:color w:val="000000"/>
                <w:sz w:val="16"/>
              </w:rPr>
              <w:t>77.597,3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5CD1516" w14:textId="77777777" w:rsidR="0039673B" w:rsidRPr="00DB20F6" w:rsidRDefault="0039673B" w:rsidP="00C07BA6">
            <w:pPr>
              <w:jc w:val="right"/>
              <w:rPr>
                <w:rFonts w:cstheme="minorHAnsi"/>
                <w:color w:val="000000"/>
                <w:sz w:val="16"/>
                <w:szCs w:val="16"/>
              </w:rPr>
            </w:pPr>
            <w:r w:rsidRPr="00DB20F6">
              <w:rPr>
                <w:color w:val="000000"/>
                <w:sz w:val="16"/>
              </w:rPr>
              <w:t>-7,3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7AEC7CF" w14:textId="77777777" w:rsidR="0039673B" w:rsidRPr="00DB20F6" w:rsidRDefault="0039673B" w:rsidP="00C07BA6">
            <w:pPr>
              <w:jc w:val="right"/>
              <w:rPr>
                <w:rFonts w:cstheme="minorHAnsi"/>
                <w:color w:val="000000"/>
                <w:sz w:val="16"/>
                <w:szCs w:val="16"/>
              </w:rPr>
            </w:pPr>
            <w:r w:rsidRPr="00DB20F6">
              <w:rPr>
                <w:color w:val="000000"/>
                <w:sz w:val="16"/>
              </w:rPr>
              <w:t>2,9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34095E" w14:textId="77777777" w:rsidR="0039673B" w:rsidRPr="00DB20F6" w:rsidRDefault="0039673B" w:rsidP="00C07BA6">
            <w:pPr>
              <w:jc w:val="right"/>
              <w:rPr>
                <w:rFonts w:cstheme="minorHAnsi"/>
                <w:color w:val="000000"/>
                <w:sz w:val="16"/>
                <w:szCs w:val="16"/>
              </w:rPr>
            </w:pPr>
            <w:r w:rsidRPr="00DB20F6">
              <w:rPr>
                <w:color w:val="000000"/>
                <w:sz w:val="16"/>
              </w:rPr>
              <w:t>19.171,1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584BB2" w14:textId="77777777" w:rsidR="0039673B" w:rsidRPr="00DB20F6" w:rsidRDefault="0039673B" w:rsidP="00C07BA6">
            <w:pPr>
              <w:jc w:val="right"/>
              <w:rPr>
                <w:rFonts w:cstheme="minorHAnsi"/>
                <w:color w:val="000000"/>
                <w:sz w:val="16"/>
                <w:szCs w:val="16"/>
              </w:rPr>
            </w:pPr>
            <w:r w:rsidRPr="00DB20F6">
              <w:rPr>
                <w:color w:val="000000"/>
                <w:sz w:val="16"/>
              </w:rPr>
              <w:t>23.540,8</w:t>
            </w:r>
          </w:p>
        </w:tc>
        <w:tc>
          <w:tcPr>
            <w:tcW w:w="639" w:type="dxa"/>
            <w:tcBorders>
              <w:top w:val="nil"/>
              <w:left w:val="nil"/>
              <w:bottom w:val="single" w:sz="4" w:space="0" w:color="FFFFFF" w:themeColor="background1"/>
              <w:right w:val="nil"/>
            </w:tcBorders>
            <w:shd w:val="clear" w:color="auto" w:fill="auto"/>
            <w:noWrap/>
            <w:vAlign w:val="bottom"/>
            <w:hideMark/>
          </w:tcPr>
          <w:p w14:paraId="105C9866" w14:textId="77777777" w:rsidR="0039673B" w:rsidRPr="00DB20F6" w:rsidRDefault="0039673B" w:rsidP="00C07BA6">
            <w:pPr>
              <w:jc w:val="right"/>
              <w:rPr>
                <w:rFonts w:cstheme="minorHAnsi"/>
                <w:color w:val="000000"/>
                <w:sz w:val="16"/>
                <w:szCs w:val="16"/>
              </w:rPr>
            </w:pPr>
            <w:r w:rsidRPr="00DB20F6">
              <w:rPr>
                <w:color w:val="000000"/>
                <w:sz w:val="16"/>
              </w:rPr>
              <w:t>22,8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B4F4564" w14:textId="77777777" w:rsidR="0039673B" w:rsidRPr="00DB20F6" w:rsidRDefault="0039673B" w:rsidP="00C07BA6">
            <w:pPr>
              <w:jc w:val="right"/>
              <w:rPr>
                <w:rFonts w:cstheme="minorHAnsi"/>
                <w:color w:val="000000"/>
                <w:sz w:val="16"/>
                <w:szCs w:val="16"/>
              </w:rPr>
            </w:pPr>
            <w:r w:rsidRPr="00DB20F6">
              <w:rPr>
                <w:color w:val="000000"/>
                <w:sz w:val="16"/>
              </w:rPr>
              <w:t>30,3</w:t>
            </w:r>
          </w:p>
        </w:tc>
      </w:tr>
      <w:tr w:rsidR="0039673B" w:rsidRPr="00DB20F6" w14:paraId="0D0F0B9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99ABD5A" w14:textId="77777777" w:rsidR="0039673B" w:rsidRPr="00DB20F6" w:rsidRDefault="0039673B" w:rsidP="00C07BA6">
            <w:pPr>
              <w:rPr>
                <w:rFonts w:cstheme="minorHAnsi"/>
                <w:color w:val="000000"/>
                <w:sz w:val="16"/>
                <w:szCs w:val="16"/>
              </w:rPr>
            </w:pPr>
            <w:r w:rsidRPr="00DB20F6">
              <w:rPr>
                <w:color w:val="000000"/>
                <w:sz w:val="16"/>
              </w:rPr>
              <w:t>Luxembourg</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05EFC51"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026200" w14:textId="77777777" w:rsidR="0039673B" w:rsidRPr="00DB20F6" w:rsidRDefault="0039673B" w:rsidP="00C07BA6">
            <w:pPr>
              <w:jc w:val="right"/>
              <w:rPr>
                <w:rFonts w:cstheme="minorHAnsi"/>
                <w:color w:val="000000"/>
                <w:sz w:val="16"/>
                <w:szCs w:val="16"/>
              </w:rPr>
            </w:pPr>
            <w:r w:rsidRPr="00DB20F6">
              <w:rPr>
                <w:color w:val="000000"/>
                <w:sz w:val="16"/>
              </w:rPr>
              <w:t>1.132,5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1768B25" w14:textId="77777777" w:rsidR="0039673B" w:rsidRPr="00DB20F6" w:rsidRDefault="0039673B" w:rsidP="00C07BA6">
            <w:pPr>
              <w:jc w:val="right"/>
              <w:rPr>
                <w:rFonts w:cstheme="minorHAnsi"/>
                <w:color w:val="000000"/>
                <w:sz w:val="16"/>
                <w:szCs w:val="16"/>
              </w:rPr>
            </w:pPr>
            <w:r w:rsidRPr="00DB20F6">
              <w:rPr>
                <w:color w:val="000000"/>
                <w:sz w:val="16"/>
              </w:rPr>
              <w:t>830,1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BC4D6F2" w14:textId="77777777" w:rsidR="0039673B" w:rsidRPr="00DB20F6" w:rsidRDefault="0039673B" w:rsidP="00C07BA6">
            <w:pPr>
              <w:jc w:val="right"/>
              <w:rPr>
                <w:rFonts w:cstheme="minorHAnsi"/>
                <w:color w:val="000000"/>
                <w:sz w:val="16"/>
                <w:szCs w:val="16"/>
              </w:rPr>
            </w:pPr>
            <w:r w:rsidRPr="00DB20F6">
              <w:rPr>
                <w:color w:val="000000"/>
                <w:sz w:val="16"/>
              </w:rPr>
              <w:t>-26,7</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76C6DA" w14:textId="77777777" w:rsidR="0039673B" w:rsidRPr="00DB20F6" w:rsidRDefault="0039673B" w:rsidP="00C07BA6">
            <w:pPr>
              <w:jc w:val="right"/>
              <w:rPr>
                <w:rFonts w:cstheme="minorHAnsi"/>
                <w:color w:val="000000"/>
                <w:sz w:val="16"/>
                <w:szCs w:val="16"/>
              </w:rPr>
            </w:pPr>
            <w:r w:rsidRPr="00DB20F6">
              <w:rPr>
                <w:color w:val="000000"/>
                <w:sz w:val="16"/>
              </w:rPr>
              <w:t>1,6</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B750DD" w14:textId="77777777" w:rsidR="0039673B" w:rsidRPr="00DB20F6" w:rsidRDefault="0039673B" w:rsidP="00C07BA6">
            <w:pPr>
              <w:jc w:val="right"/>
              <w:rPr>
                <w:rFonts w:cstheme="minorHAnsi"/>
                <w:color w:val="000000"/>
                <w:sz w:val="16"/>
                <w:szCs w:val="16"/>
              </w:rPr>
            </w:pPr>
            <w:r w:rsidRPr="00DB20F6">
              <w:rPr>
                <w:color w:val="000000"/>
                <w:sz w:val="16"/>
              </w:rPr>
              <w:t>14.759,9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A62CEB" w14:textId="77777777" w:rsidR="0039673B" w:rsidRPr="00DB20F6" w:rsidRDefault="0039673B" w:rsidP="00C07BA6">
            <w:pPr>
              <w:jc w:val="right"/>
              <w:rPr>
                <w:rFonts w:cstheme="minorHAnsi"/>
                <w:color w:val="000000"/>
                <w:sz w:val="16"/>
                <w:szCs w:val="16"/>
              </w:rPr>
            </w:pPr>
            <w:r w:rsidRPr="00DB20F6">
              <w:rPr>
                <w:color w:val="000000"/>
                <w:sz w:val="16"/>
              </w:rPr>
              <w:t>12.941,7</w:t>
            </w:r>
          </w:p>
        </w:tc>
        <w:tc>
          <w:tcPr>
            <w:tcW w:w="639" w:type="dxa"/>
            <w:tcBorders>
              <w:top w:val="nil"/>
              <w:left w:val="nil"/>
              <w:bottom w:val="single" w:sz="4" w:space="0" w:color="FFFFFF" w:themeColor="background1"/>
              <w:right w:val="nil"/>
            </w:tcBorders>
            <w:shd w:val="clear" w:color="auto" w:fill="auto"/>
            <w:noWrap/>
            <w:vAlign w:val="bottom"/>
            <w:hideMark/>
          </w:tcPr>
          <w:p w14:paraId="4515E5F3" w14:textId="77777777" w:rsidR="0039673B" w:rsidRPr="00DB20F6" w:rsidRDefault="0039673B" w:rsidP="00C07BA6">
            <w:pPr>
              <w:jc w:val="right"/>
              <w:rPr>
                <w:rFonts w:cstheme="minorHAnsi"/>
                <w:color w:val="000000"/>
                <w:sz w:val="16"/>
                <w:szCs w:val="16"/>
              </w:rPr>
            </w:pPr>
            <w:r w:rsidRPr="00DB20F6">
              <w:rPr>
                <w:color w:val="000000"/>
                <w:sz w:val="16"/>
              </w:rPr>
              <w:t>-12,3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423660E" w14:textId="77777777" w:rsidR="0039673B" w:rsidRPr="00DB20F6" w:rsidRDefault="0039673B" w:rsidP="00C07BA6">
            <w:pPr>
              <w:jc w:val="right"/>
              <w:rPr>
                <w:rFonts w:cstheme="minorHAnsi"/>
                <w:color w:val="000000"/>
                <w:sz w:val="16"/>
                <w:szCs w:val="16"/>
              </w:rPr>
            </w:pPr>
            <w:r w:rsidRPr="00DB20F6">
              <w:rPr>
                <w:color w:val="000000"/>
                <w:sz w:val="16"/>
              </w:rPr>
              <w:t>1.559,0</w:t>
            </w:r>
          </w:p>
        </w:tc>
      </w:tr>
      <w:tr w:rsidR="0039673B" w:rsidRPr="00DB20F6" w14:paraId="2C84B37E"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53B837C" w14:textId="77777777" w:rsidR="0039673B" w:rsidRPr="00DB20F6" w:rsidRDefault="0039673B" w:rsidP="00C07BA6">
            <w:pPr>
              <w:rPr>
                <w:rFonts w:cstheme="minorHAnsi"/>
                <w:color w:val="000000"/>
                <w:sz w:val="16"/>
                <w:szCs w:val="16"/>
              </w:rPr>
            </w:pPr>
            <w:r w:rsidRPr="00DB20F6">
              <w:rPr>
                <w:color w:val="000000"/>
                <w:sz w:val="16"/>
              </w:rPr>
              <w:t>Pologne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72FDC4D" w14:textId="77777777" w:rsidR="0039673B" w:rsidRPr="00DB20F6" w:rsidRDefault="0039673B" w:rsidP="00C07BA6">
            <w:pPr>
              <w:jc w:val="right"/>
              <w:rPr>
                <w:rFonts w:cstheme="minorHAnsi"/>
                <w:color w:val="000000"/>
                <w:sz w:val="16"/>
                <w:szCs w:val="16"/>
              </w:rPr>
            </w:pPr>
            <w:r w:rsidRPr="00DB20F6">
              <w:rPr>
                <w:color w:val="000000"/>
                <w:sz w:val="16"/>
              </w:rPr>
              <w:t>8,5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2234EE9" w14:textId="77777777" w:rsidR="0039673B" w:rsidRPr="00DB20F6" w:rsidRDefault="0039673B" w:rsidP="00C07BA6">
            <w:pPr>
              <w:jc w:val="right"/>
              <w:rPr>
                <w:rFonts w:cstheme="minorHAnsi"/>
                <w:color w:val="000000"/>
                <w:sz w:val="16"/>
                <w:szCs w:val="16"/>
              </w:rPr>
            </w:pPr>
            <w:r w:rsidRPr="00DB20F6">
              <w:rPr>
                <w:color w:val="000000"/>
                <w:sz w:val="16"/>
              </w:rPr>
              <w:t>107.829,5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F9731C9" w14:textId="77777777" w:rsidR="0039673B" w:rsidRPr="00DB20F6" w:rsidRDefault="0039673B" w:rsidP="00C07BA6">
            <w:pPr>
              <w:jc w:val="right"/>
              <w:rPr>
                <w:rFonts w:cstheme="minorHAnsi"/>
                <w:color w:val="000000"/>
                <w:sz w:val="16"/>
                <w:szCs w:val="16"/>
              </w:rPr>
            </w:pPr>
            <w:r w:rsidRPr="00DB20F6">
              <w:rPr>
                <w:color w:val="000000"/>
                <w:sz w:val="16"/>
              </w:rPr>
              <w:t>103.704,8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65DD0A5" w14:textId="77777777" w:rsidR="0039673B" w:rsidRPr="00DB20F6" w:rsidRDefault="0039673B" w:rsidP="00C07BA6">
            <w:pPr>
              <w:jc w:val="right"/>
              <w:rPr>
                <w:rFonts w:cstheme="minorHAnsi"/>
                <w:color w:val="000000"/>
                <w:sz w:val="16"/>
                <w:szCs w:val="16"/>
              </w:rPr>
            </w:pPr>
            <w:r w:rsidRPr="00DB20F6">
              <w:rPr>
                <w:color w:val="000000"/>
                <w:sz w:val="16"/>
              </w:rPr>
              <w:t>-3,8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1A47F9" w14:textId="77777777" w:rsidR="0039673B" w:rsidRPr="00DB20F6" w:rsidRDefault="0039673B" w:rsidP="00C07BA6">
            <w:pPr>
              <w:jc w:val="right"/>
              <w:rPr>
                <w:rFonts w:cstheme="minorHAnsi"/>
                <w:color w:val="000000"/>
                <w:sz w:val="16"/>
                <w:szCs w:val="16"/>
              </w:rPr>
            </w:pPr>
            <w:r w:rsidRPr="00DB20F6">
              <w:rPr>
                <w:color w:val="000000"/>
                <w:sz w:val="16"/>
              </w:rPr>
              <w:t>1,1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47E303" w14:textId="77777777" w:rsidR="0039673B" w:rsidRPr="00DB20F6" w:rsidRDefault="0039673B" w:rsidP="00C07BA6">
            <w:pPr>
              <w:jc w:val="right"/>
              <w:rPr>
                <w:rFonts w:cstheme="minorHAnsi"/>
                <w:color w:val="000000"/>
                <w:sz w:val="16"/>
                <w:szCs w:val="16"/>
              </w:rPr>
            </w:pPr>
            <w:r w:rsidRPr="00DB20F6">
              <w:rPr>
                <w:color w:val="000000"/>
                <w:sz w:val="16"/>
              </w:rPr>
              <w:t>8.951,5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DCD5D7" w14:textId="77777777" w:rsidR="0039673B" w:rsidRPr="00DB20F6" w:rsidRDefault="0039673B" w:rsidP="00C07BA6">
            <w:pPr>
              <w:jc w:val="right"/>
              <w:rPr>
                <w:rFonts w:cstheme="minorHAnsi"/>
                <w:color w:val="000000"/>
                <w:sz w:val="16"/>
                <w:szCs w:val="16"/>
              </w:rPr>
            </w:pPr>
            <w:r w:rsidRPr="00DB20F6">
              <w:rPr>
                <w:color w:val="000000"/>
                <w:sz w:val="16"/>
              </w:rPr>
              <w:t>8.878,5</w:t>
            </w:r>
          </w:p>
        </w:tc>
        <w:tc>
          <w:tcPr>
            <w:tcW w:w="639" w:type="dxa"/>
            <w:tcBorders>
              <w:top w:val="nil"/>
              <w:left w:val="nil"/>
              <w:bottom w:val="single" w:sz="4" w:space="0" w:color="FFFFFF" w:themeColor="background1"/>
              <w:right w:val="nil"/>
            </w:tcBorders>
            <w:shd w:val="clear" w:color="auto" w:fill="auto"/>
            <w:noWrap/>
            <w:vAlign w:val="bottom"/>
            <w:hideMark/>
          </w:tcPr>
          <w:p w14:paraId="5E04545F" w14:textId="77777777" w:rsidR="0039673B" w:rsidRPr="00DB20F6" w:rsidRDefault="0039673B" w:rsidP="00C07BA6">
            <w:pPr>
              <w:jc w:val="right"/>
              <w:rPr>
                <w:rFonts w:cstheme="minorHAnsi"/>
                <w:color w:val="000000"/>
                <w:sz w:val="16"/>
                <w:szCs w:val="16"/>
              </w:rPr>
            </w:pPr>
            <w:r w:rsidRPr="00DB20F6">
              <w:rPr>
                <w:color w:val="000000"/>
                <w:sz w:val="16"/>
              </w:rPr>
              <w:t>-0,8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725B459" w14:textId="77777777" w:rsidR="0039673B" w:rsidRPr="00DB20F6" w:rsidRDefault="0039673B" w:rsidP="00C07BA6">
            <w:pPr>
              <w:jc w:val="right"/>
              <w:rPr>
                <w:rFonts w:cstheme="minorHAnsi"/>
                <w:color w:val="000000"/>
                <w:sz w:val="16"/>
                <w:szCs w:val="16"/>
              </w:rPr>
            </w:pPr>
            <w:r w:rsidRPr="00DB20F6">
              <w:rPr>
                <w:color w:val="000000"/>
                <w:sz w:val="16"/>
              </w:rPr>
              <w:t>8,6</w:t>
            </w:r>
          </w:p>
        </w:tc>
      </w:tr>
      <w:tr w:rsidR="0039673B" w:rsidRPr="00DB20F6" w14:paraId="451CEE2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9E6B798" w14:textId="77777777" w:rsidR="0039673B" w:rsidRPr="00DB20F6" w:rsidRDefault="0039673B" w:rsidP="00C07BA6">
            <w:pPr>
              <w:rPr>
                <w:rFonts w:cstheme="minorHAnsi"/>
                <w:color w:val="000000"/>
                <w:sz w:val="16"/>
                <w:szCs w:val="16"/>
              </w:rPr>
            </w:pPr>
            <w:r w:rsidRPr="00DB20F6">
              <w:rPr>
                <w:color w:val="000000"/>
                <w:sz w:val="16"/>
              </w:rPr>
              <w:t>Irlande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1E45B8"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B65754A" w14:textId="77777777" w:rsidR="0039673B" w:rsidRPr="00DB20F6" w:rsidRDefault="0039673B" w:rsidP="00C07BA6">
            <w:pPr>
              <w:jc w:val="right"/>
              <w:rPr>
                <w:rFonts w:cstheme="minorHAnsi"/>
                <w:color w:val="000000"/>
                <w:sz w:val="16"/>
                <w:szCs w:val="16"/>
              </w:rPr>
            </w:pPr>
            <w:r w:rsidRPr="00DB20F6">
              <w:rPr>
                <w:color w:val="000000"/>
                <w:sz w:val="16"/>
              </w:rPr>
              <w:t>490,5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E5182BB" w14:textId="77777777" w:rsidR="0039673B" w:rsidRPr="00DB20F6" w:rsidRDefault="0039673B" w:rsidP="00C07BA6">
            <w:pPr>
              <w:jc w:val="right"/>
              <w:rPr>
                <w:rFonts w:cstheme="minorHAnsi"/>
                <w:color w:val="000000"/>
                <w:sz w:val="16"/>
                <w:szCs w:val="16"/>
              </w:rPr>
            </w:pPr>
            <w:r w:rsidRPr="00DB20F6">
              <w:rPr>
                <w:color w:val="000000"/>
                <w:sz w:val="16"/>
              </w:rPr>
              <w:t>1.534,6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8111A85" w14:textId="77777777" w:rsidR="0039673B" w:rsidRPr="00DB20F6" w:rsidRDefault="0039673B" w:rsidP="00C07BA6">
            <w:pPr>
              <w:jc w:val="right"/>
              <w:rPr>
                <w:rFonts w:cstheme="minorHAnsi"/>
                <w:color w:val="000000"/>
                <w:sz w:val="16"/>
                <w:szCs w:val="16"/>
              </w:rPr>
            </w:pPr>
            <w:r w:rsidRPr="00DB20F6">
              <w:rPr>
                <w:color w:val="000000"/>
                <w:sz w:val="16"/>
              </w:rPr>
              <w:t>212,8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33514F" w14:textId="77777777" w:rsidR="0039673B" w:rsidRPr="00DB20F6" w:rsidRDefault="0039673B" w:rsidP="00C07BA6">
            <w:pPr>
              <w:jc w:val="right"/>
              <w:rPr>
                <w:rFonts w:cstheme="minorHAnsi"/>
                <w:color w:val="000000"/>
                <w:sz w:val="16"/>
                <w:szCs w:val="16"/>
              </w:rPr>
            </w:pPr>
            <w:r w:rsidRPr="00DB20F6">
              <w:rPr>
                <w:color w:val="000000"/>
                <w:sz w:val="16"/>
              </w:rPr>
              <w:t>1,3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C31A3E" w14:textId="77777777" w:rsidR="0039673B" w:rsidRPr="00DB20F6" w:rsidRDefault="0039673B" w:rsidP="00C07BA6">
            <w:pPr>
              <w:jc w:val="right"/>
              <w:rPr>
                <w:rFonts w:cstheme="minorHAnsi"/>
                <w:color w:val="000000"/>
                <w:sz w:val="16"/>
                <w:szCs w:val="16"/>
              </w:rPr>
            </w:pPr>
            <w:r w:rsidRPr="00DB20F6">
              <w:rPr>
                <w:color w:val="000000"/>
                <w:sz w:val="16"/>
              </w:rPr>
              <w:t>8.515,9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D28E7F" w14:textId="77777777" w:rsidR="0039673B" w:rsidRPr="00DB20F6" w:rsidRDefault="0039673B" w:rsidP="00C07BA6">
            <w:pPr>
              <w:jc w:val="right"/>
              <w:rPr>
                <w:rFonts w:cstheme="minorHAnsi"/>
                <w:color w:val="000000"/>
                <w:sz w:val="16"/>
                <w:szCs w:val="16"/>
              </w:rPr>
            </w:pPr>
            <w:r w:rsidRPr="00DB20F6">
              <w:rPr>
                <w:color w:val="000000"/>
                <w:sz w:val="16"/>
              </w:rPr>
              <w:t>10.103,9</w:t>
            </w:r>
          </w:p>
        </w:tc>
        <w:tc>
          <w:tcPr>
            <w:tcW w:w="639" w:type="dxa"/>
            <w:tcBorders>
              <w:top w:val="nil"/>
              <w:left w:val="nil"/>
              <w:bottom w:val="single" w:sz="4" w:space="0" w:color="FFFFFF" w:themeColor="background1"/>
              <w:right w:val="nil"/>
            </w:tcBorders>
            <w:shd w:val="clear" w:color="auto" w:fill="auto"/>
            <w:noWrap/>
            <w:vAlign w:val="bottom"/>
            <w:hideMark/>
          </w:tcPr>
          <w:p w14:paraId="75B16D09" w14:textId="77777777" w:rsidR="0039673B" w:rsidRPr="00DB20F6" w:rsidRDefault="0039673B" w:rsidP="00C07BA6">
            <w:pPr>
              <w:jc w:val="right"/>
              <w:rPr>
                <w:rFonts w:cstheme="minorHAnsi"/>
                <w:color w:val="000000"/>
                <w:sz w:val="16"/>
                <w:szCs w:val="16"/>
              </w:rPr>
            </w:pPr>
            <w:r w:rsidRPr="00DB20F6">
              <w:rPr>
                <w:color w:val="000000"/>
                <w:sz w:val="16"/>
              </w:rPr>
              <w:t>18,6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2B0D660" w14:textId="77777777" w:rsidR="0039673B" w:rsidRPr="00DB20F6" w:rsidRDefault="0039673B" w:rsidP="00C07BA6">
            <w:pPr>
              <w:jc w:val="right"/>
              <w:rPr>
                <w:rFonts w:cstheme="minorHAnsi"/>
                <w:color w:val="000000"/>
                <w:sz w:val="16"/>
                <w:szCs w:val="16"/>
              </w:rPr>
            </w:pPr>
            <w:r w:rsidRPr="00DB20F6">
              <w:rPr>
                <w:color w:val="000000"/>
                <w:sz w:val="16"/>
              </w:rPr>
              <w:t>658,4</w:t>
            </w:r>
          </w:p>
        </w:tc>
      </w:tr>
      <w:tr w:rsidR="0039673B" w:rsidRPr="00DB20F6" w14:paraId="17C18A3F"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1E825E2" w14:textId="77777777" w:rsidR="0039673B" w:rsidRPr="00DB20F6" w:rsidRDefault="0039673B" w:rsidP="00C07BA6">
            <w:pPr>
              <w:rPr>
                <w:rFonts w:cstheme="minorHAnsi"/>
                <w:color w:val="000000"/>
                <w:sz w:val="16"/>
                <w:szCs w:val="16"/>
              </w:rPr>
            </w:pPr>
            <w:r w:rsidRPr="00DB20F6">
              <w:rPr>
                <w:color w:val="000000"/>
                <w:sz w:val="16"/>
              </w:rPr>
              <w:t>Autriche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20203ED"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25D771C" w14:textId="77777777" w:rsidR="0039673B" w:rsidRPr="00DB20F6" w:rsidRDefault="0039673B" w:rsidP="00C07BA6">
            <w:pPr>
              <w:jc w:val="right"/>
              <w:rPr>
                <w:rFonts w:cstheme="minorHAnsi"/>
                <w:color w:val="000000"/>
                <w:sz w:val="16"/>
                <w:szCs w:val="16"/>
              </w:rPr>
            </w:pPr>
            <w:r w:rsidRPr="00DB20F6">
              <w:rPr>
                <w:color w:val="000000"/>
                <w:sz w:val="16"/>
              </w:rPr>
              <w:t>2.912,6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6AF601D" w14:textId="77777777" w:rsidR="0039673B" w:rsidRPr="00DB20F6" w:rsidRDefault="0039673B" w:rsidP="00C07BA6">
            <w:pPr>
              <w:jc w:val="right"/>
              <w:rPr>
                <w:rFonts w:cstheme="minorHAnsi"/>
                <w:color w:val="000000"/>
                <w:sz w:val="16"/>
                <w:szCs w:val="16"/>
              </w:rPr>
            </w:pPr>
            <w:r w:rsidRPr="00DB20F6">
              <w:rPr>
                <w:color w:val="000000"/>
                <w:sz w:val="16"/>
              </w:rPr>
              <w:t>3.345,5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1070471" w14:textId="77777777" w:rsidR="0039673B" w:rsidRPr="00DB20F6" w:rsidRDefault="0039673B" w:rsidP="00C07BA6">
            <w:pPr>
              <w:jc w:val="right"/>
              <w:rPr>
                <w:rFonts w:cstheme="minorHAnsi"/>
                <w:color w:val="000000"/>
                <w:sz w:val="16"/>
                <w:szCs w:val="16"/>
              </w:rPr>
            </w:pPr>
            <w:r w:rsidRPr="00DB20F6">
              <w:rPr>
                <w:color w:val="000000"/>
                <w:sz w:val="16"/>
              </w:rPr>
              <w:t>14,9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42169B" w14:textId="77777777" w:rsidR="0039673B" w:rsidRPr="00DB20F6" w:rsidRDefault="0039673B" w:rsidP="00C07BA6">
            <w:pPr>
              <w:jc w:val="right"/>
              <w:rPr>
                <w:rFonts w:cstheme="minorHAnsi"/>
                <w:color w:val="000000"/>
                <w:sz w:val="16"/>
                <w:szCs w:val="16"/>
              </w:rPr>
            </w:pPr>
            <w:r w:rsidRPr="00DB20F6">
              <w:rPr>
                <w:color w:val="000000"/>
                <w:sz w:val="16"/>
              </w:rPr>
              <w:t>0,8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69EA96" w14:textId="77777777" w:rsidR="0039673B" w:rsidRPr="00DB20F6" w:rsidRDefault="0039673B" w:rsidP="00C07BA6">
            <w:pPr>
              <w:jc w:val="right"/>
              <w:rPr>
                <w:rFonts w:cstheme="minorHAnsi"/>
                <w:color w:val="000000"/>
                <w:sz w:val="16"/>
                <w:szCs w:val="16"/>
              </w:rPr>
            </w:pPr>
            <w:r w:rsidRPr="00DB20F6">
              <w:rPr>
                <w:color w:val="000000"/>
                <w:sz w:val="16"/>
              </w:rPr>
              <w:t>6.787,9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595D42" w14:textId="77777777" w:rsidR="0039673B" w:rsidRPr="00DB20F6" w:rsidRDefault="0039673B" w:rsidP="00C07BA6">
            <w:pPr>
              <w:jc w:val="right"/>
              <w:rPr>
                <w:rFonts w:cstheme="minorHAnsi"/>
                <w:color w:val="000000"/>
                <w:sz w:val="16"/>
                <w:szCs w:val="16"/>
              </w:rPr>
            </w:pPr>
            <w:r w:rsidRPr="00DB20F6">
              <w:rPr>
                <w:color w:val="000000"/>
                <w:sz w:val="16"/>
              </w:rPr>
              <w:t>6.743,7</w:t>
            </w:r>
          </w:p>
        </w:tc>
        <w:tc>
          <w:tcPr>
            <w:tcW w:w="639" w:type="dxa"/>
            <w:tcBorders>
              <w:top w:val="nil"/>
              <w:left w:val="nil"/>
              <w:bottom w:val="single" w:sz="4" w:space="0" w:color="FFFFFF" w:themeColor="background1"/>
              <w:right w:val="nil"/>
            </w:tcBorders>
            <w:shd w:val="clear" w:color="auto" w:fill="auto"/>
            <w:noWrap/>
            <w:vAlign w:val="bottom"/>
            <w:hideMark/>
          </w:tcPr>
          <w:p w14:paraId="7C5B829E"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AED8D7" w14:textId="77777777" w:rsidR="0039673B" w:rsidRPr="00DB20F6" w:rsidRDefault="0039673B" w:rsidP="00C07BA6">
            <w:pPr>
              <w:jc w:val="right"/>
              <w:rPr>
                <w:rFonts w:cstheme="minorHAnsi"/>
                <w:color w:val="000000"/>
                <w:sz w:val="16"/>
                <w:szCs w:val="16"/>
              </w:rPr>
            </w:pPr>
            <w:r w:rsidRPr="00DB20F6">
              <w:rPr>
                <w:color w:val="000000"/>
                <w:sz w:val="16"/>
              </w:rPr>
              <w:t>201,6</w:t>
            </w:r>
          </w:p>
        </w:tc>
      </w:tr>
      <w:tr w:rsidR="0039673B" w:rsidRPr="00DB20F6" w14:paraId="1528C466"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6E15A11" w14:textId="77777777" w:rsidR="0039673B" w:rsidRPr="00DB20F6" w:rsidRDefault="0039673B" w:rsidP="00C07BA6">
            <w:pPr>
              <w:rPr>
                <w:rFonts w:cstheme="minorHAnsi"/>
                <w:color w:val="000000"/>
                <w:sz w:val="16"/>
                <w:szCs w:val="16"/>
              </w:rPr>
            </w:pPr>
            <w:r w:rsidRPr="00DB20F6">
              <w:rPr>
                <w:color w:val="000000"/>
                <w:sz w:val="16"/>
              </w:rPr>
              <w:t>Portugal</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E492D72" w14:textId="77777777" w:rsidR="0039673B" w:rsidRPr="00DB20F6" w:rsidRDefault="0039673B" w:rsidP="00C07BA6">
            <w:pPr>
              <w:jc w:val="right"/>
              <w:rPr>
                <w:rFonts w:cstheme="minorHAnsi"/>
                <w:color w:val="000000"/>
                <w:sz w:val="16"/>
                <w:szCs w:val="16"/>
              </w:rPr>
            </w:pPr>
            <w:r w:rsidRPr="00DB20F6">
              <w:rPr>
                <w:color w:val="000000"/>
                <w:sz w:val="16"/>
              </w:rPr>
              <w:t>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8613E37" w14:textId="77777777" w:rsidR="0039673B" w:rsidRPr="00DB20F6" w:rsidRDefault="0039673B" w:rsidP="00C07BA6">
            <w:pPr>
              <w:jc w:val="right"/>
              <w:rPr>
                <w:rFonts w:cstheme="minorHAnsi"/>
                <w:color w:val="000000"/>
                <w:sz w:val="16"/>
                <w:szCs w:val="16"/>
              </w:rPr>
            </w:pPr>
            <w:r w:rsidRPr="00DB20F6">
              <w:rPr>
                <w:color w:val="000000"/>
                <w:sz w:val="16"/>
              </w:rPr>
              <w:t>4.303,5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59C889D" w14:textId="77777777" w:rsidR="0039673B" w:rsidRPr="00DB20F6" w:rsidRDefault="0039673B" w:rsidP="00C07BA6">
            <w:pPr>
              <w:jc w:val="right"/>
              <w:rPr>
                <w:rFonts w:cstheme="minorHAnsi"/>
                <w:color w:val="000000"/>
                <w:sz w:val="16"/>
                <w:szCs w:val="16"/>
              </w:rPr>
            </w:pPr>
            <w:r w:rsidRPr="00DB20F6">
              <w:rPr>
                <w:color w:val="000000"/>
                <w:sz w:val="16"/>
              </w:rPr>
              <w:t>4.485,9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131D78F" w14:textId="77777777" w:rsidR="0039673B" w:rsidRPr="00DB20F6" w:rsidRDefault="0039673B" w:rsidP="00C07BA6">
            <w:pPr>
              <w:jc w:val="right"/>
              <w:rPr>
                <w:rFonts w:cstheme="minorHAnsi"/>
                <w:color w:val="000000"/>
                <w:sz w:val="16"/>
                <w:szCs w:val="16"/>
              </w:rPr>
            </w:pPr>
            <w:r w:rsidRPr="00DB20F6">
              <w:rPr>
                <w:color w:val="000000"/>
                <w:sz w:val="16"/>
              </w:rPr>
              <w:t>4,2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2771B3"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41B751" w14:textId="77777777" w:rsidR="0039673B" w:rsidRPr="00DB20F6" w:rsidRDefault="0039673B" w:rsidP="00C07BA6">
            <w:pPr>
              <w:jc w:val="right"/>
              <w:rPr>
                <w:rFonts w:cstheme="minorHAnsi"/>
                <w:color w:val="000000"/>
                <w:sz w:val="16"/>
                <w:szCs w:val="16"/>
              </w:rPr>
            </w:pPr>
            <w:r w:rsidRPr="00DB20F6">
              <w:rPr>
                <w:color w:val="000000"/>
                <w:sz w:val="16"/>
              </w:rPr>
              <w:t>4.795,7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8228FB8" w14:textId="77777777" w:rsidR="0039673B" w:rsidRPr="00DB20F6" w:rsidRDefault="0039673B" w:rsidP="00C07BA6">
            <w:pPr>
              <w:jc w:val="right"/>
              <w:rPr>
                <w:rFonts w:cstheme="minorHAnsi"/>
                <w:color w:val="000000"/>
                <w:sz w:val="16"/>
                <w:szCs w:val="16"/>
              </w:rPr>
            </w:pPr>
            <w:r w:rsidRPr="00DB20F6">
              <w:rPr>
                <w:color w:val="000000"/>
                <w:sz w:val="16"/>
              </w:rPr>
              <w:t>5.509,0</w:t>
            </w:r>
          </w:p>
        </w:tc>
        <w:tc>
          <w:tcPr>
            <w:tcW w:w="639" w:type="dxa"/>
            <w:tcBorders>
              <w:top w:val="nil"/>
              <w:left w:val="nil"/>
              <w:bottom w:val="single" w:sz="4" w:space="0" w:color="FFFFFF" w:themeColor="background1"/>
              <w:right w:val="nil"/>
            </w:tcBorders>
            <w:shd w:val="clear" w:color="auto" w:fill="auto"/>
            <w:noWrap/>
            <w:vAlign w:val="bottom"/>
            <w:hideMark/>
          </w:tcPr>
          <w:p w14:paraId="00F051E6" w14:textId="77777777" w:rsidR="0039673B" w:rsidRPr="00DB20F6" w:rsidRDefault="0039673B" w:rsidP="00C07BA6">
            <w:pPr>
              <w:jc w:val="right"/>
              <w:rPr>
                <w:rFonts w:cstheme="minorHAnsi"/>
                <w:color w:val="000000"/>
                <w:sz w:val="16"/>
                <w:szCs w:val="16"/>
              </w:rPr>
            </w:pPr>
            <w:r w:rsidRPr="00DB20F6">
              <w:rPr>
                <w:color w:val="000000"/>
                <w:sz w:val="16"/>
              </w:rPr>
              <w:t>14,9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E82A60B" w14:textId="77777777" w:rsidR="0039673B" w:rsidRPr="00DB20F6" w:rsidRDefault="0039673B" w:rsidP="00C07BA6">
            <w:pPr>
              <w:jc w:val="right"/>
              <w:rPr>
                <w:rFonts w:cstheme="minorHAnsi"/>
                <w:color w:val="000000"/>
                <w:sz w:val="16"/>
                <w:szCs w:val="16"/>
              </w:rPr>
            </w:pPr>
            <w:r w:rsidRPr="00DB20F6">
              <w:rPr>
                <w:color w:val="000000"/>
                <w:sz w:val="16"/>
              </w:rPr>
              <w:t>122,8</w:t>
            </w:r>
          </w:p>
        </w:tc>
      </w:tr>
      <w:tr w:rsidR="0039673B" w:rsidRPr="00DB20F6" w14:paraId="5B6606DD"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8033836" w14:textId="77777777" w:rsidR="0039673B" w:rsidRPr="00DB20F6" w:rsidRDefault="0039673B" w:rsidP="00C07BA6">
            <w:pPr>
              <w:rPr>
                <w:rFonts w:cstheme="minorHAnsi"/>
                <w:color w:val="000000"/>
                <w:sz w:val="16"/>
                <w:szCs w:val="16"/>
              </w:rPr>
            </w:pPr>
            <w:r w:rsidRPr="00DB20F6">
              <w:rPr>
                <w:color w:val="000000"/>
                <w:sz w:val="16"/>
              </w:rPr>
              <w:t>Suède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E9045D3" w14:textId="77777777" w:rsidR="0039673B" w:rsidRPr="00DB20F6" w:rsidRDefault="0039673B" w:rsidP="00C07BA6">
            <w:pPr>
              <w:jc w:val="right"/>
              <w:rPr>
                <w:rFonts w:cstheme="minorHAnsi"/>
                <w:color w:val="000000"/>
                <w:sz w:val="16"/>
                <w:szCs w:val="16"/>
              </w:rPr>
            </w:pPr>
            <w:r w:rsidRPr="00DB20F6">
              <w:rPr>
                <w:color w:val="000000"/>
                <w:sz w:val="16"/>
              </w:rPr>
              <w:t>1,3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FD3757C" w14:textId="77777777" w:rsidR="0039673B" w:rsidRPr="00DB20F6" w:rsidRDefault="0039673B" w:rsidP="00C07BA6">
            <w:pPr>
              <w:jc w:val="right"/>
              <w:rPr>
                <w:rFonts w:cstheme="minorHAnsi"/>
                <w:color w:val="000000"/>
                <w:sz w:val="16"/>
                <w:szCs w:val="16"/>
              </w:rPr>
            </w:pPr>
            <w:r w:rsidRPr="00DB20F6">
              <w:rPr>
                <w:color w:val="000000"/>
                <w:sz w:val="16"/>
              </w:rPr>
              <w:t>17.250,6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E4EFAF9" w14:textId="77777777" w:rsidR="0039673B" w:rsidRPr="00DB20F6" w:rsidRDefault="0039673B" w:rsidP="00C07BA6">
            <w:pPr>
              <w:jc w:val="right"/>
              <w:rPr>
                <w:rFonts w:cstheme="minorHAnsi"/>
                <w:color w:val="000000"/>
                <w:sz w:val="16"/>
                <w:szCs w:val="16"/>
              </w:rPr>
            </w:pPr>
            <w:r w:rsidRPr="00DB20F6">
              <w:rPr>
                <w:color w:val="000000"/>
                <w:sz w:val="16"/>
              </w:rPr>
              <w:t>15.431,4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6FF15FF" w14:textId="77777777" w:rsidR="0039673B" w:rsidRPr="00DB20F6" w:rsidRDefault="0039673B" w:rsidP="00C07BA6">
            <w:pPr>
              <w:jc w:val="right"/>
              <w:rPr>
                <w:rFonts w:cstheme="minorHAnsi"/>
                <w:color w:val="000000"/>
                <w:sz w:val="16"/>
                <w:szCs w:val="16"/>
              </w:rPr>
            </w:pPr>
            <w:r w:rsidRPr="00DB20F6">
              <w:rPr>
                <w:color w:val="000000"/>
                <w:sz w:val="16"/>
              </w:rPr>
              <w:t>-10,5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FBB512" w14:textId="77777777" w:rsidR="0039673B" w:rsidRPr="00DB20F6" w:rsidRDefault="0039673B" w:rsidP="00C07BA6">
            <w:pPr>
              <w:jc w:val="right"/>
              <w:rPr>
                <w:rFonts w:cstheme="minorHAnsi"/>
                <w:color w:val="000000"/>
                <w:sz w:val="16"/>
                <w:szCs w:val="16"/>
              </w:rPr>
            </w:pPr>
            <w:r w:rsidRPr="00DB20F6">
              <w:rPr>
                <w:color w:val="000000"/>
                <w:sz w:val="16"/>
              </w:rPr>
              <w:t>0,5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5E60C9" w14:textId="77777777" w:rsidR="0039673B" w:rsidRPr="00DB20F6" w:rsidRDefault="0039673B" w:rsidP="00C07BA6">
            <w:pPr>
              <w:jc w:val="right"/>
              <w:rPr>
                <w:rFonts w:cstheme="minorHAnsi"/>
                <w:color w:val="000000"/>
                <w:sz w:val="16"/>
                <w:szCs w:val="16"/>
              </w:rPr>
            </w:pPr>
            <w:r w:rsidRPr="00DB20F6">
              <w:rPr>
                <w:color w:val="000000"/>
                <w:sz w:val="16"/>
              </w:rPr>
              <w:t>4.622,3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B3D290" w14:textId="77777777" w:rsidR="0039673B" w:rsidRPr="00DB20F6" w:rsidRDefault="0039673B" w:rsidP="00C07BA6">
            <w:pPr>
              <w:jc w:val="right"/>
              <w:rPr>
                <w:rFonts w:cstheme="minorHAnsi"/>
                <w:color w:val="000000"/>
                <w:sz w:val="16"/>
                <w:szCs w:val="16"/>
              </w:rPr>
            </w:pPr>
            <w:r w:rsidRPr="00DB20F6">
              <w:rPr>
                <w:color w:val="000000"/>
                <w:sz w:val="16"/>
              </w:rPr>
              <w:t>3.843,9</w:t>
            </w:r>
          </w:p>
        </w:tc>
        <w:tc>
          <w:tcPr>
            <w:tcW w:w="639" w:type="dxa"/>
            <w:tcBorders>
              <w:top w:val="nil"/>
              <w:left w:val="nil"/>
              <w:bottom w:val="single" w:sz="4" w:space="0" w:color="FFFFFF" w:themeColor="background1"/>
              <w:right w:val="nil"/>
            </w:tcBorders>
            <w:shd w:val="clear" w:color="auto" w:fill="auto"/>
            <w:noWrap/>
            <w:vAlign w:val="bottom"/>
            <w:hideMark/>
          </w:tcPr>
          <w:p w14:paraId="55A1CC75" w14:textId="77777777" w:rsidR="0039673B" w:rsidRPr="00DB20F6" w:rsidRDefault="0039673B" w:rsidP="00C07BA6">
            <w:pPr>
              <w:jc w:val="right"/>
              <w:rPr>
                <w:rFonts w:cstheme="minorHAnsi"/>
                <w:color w:val="000000"/>
                <w:sz w:val="16"/>
                <w:szCs w:val="16"/>
              </w:rPr>
            </w:pPr>
            <w:r w:rsidRPr="00DB20F6">
              <w:rPr>
                <w:color w:val="000000"/>
                <w:sz w:val="16"/>
              </w:rPr>
              <w:t>-16,8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B2D7ECB" w14:textId="77777777" w:rsidR="0039673B" w:rsidRPr="00DB20F6" w:rsidRDefault="0039673B" w:rsidP="00C07BA6">
            <w:pPr>
              <w:jc w:val="right"/>
              <w:rPr>
                <w:rFonts w:cstheme="minorHAnsi"/>
                <w:color w:val="000000"/>
                <w:sz w:val="16"/>
                <w:szCs w:val="16"/>
              </w:rPr>
            </w:pPr>
            <w:r w:rsidRPr="00DB20F6">
              <w:rPr>
                <w:color w:val="000000"/>
                <w:sz w:val="16"/>
              </w:rPr>
              <w:t>24,9</w:t>
            </w:r>
          </w:p>
        </w:tc>
      </w:tr>
      <w:tr w:rsidR="0039673B" w:rsidRPr="00DB20F6" w14:paraId="5EE364E9"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422334F" w14:textId="77777777" w:rsidR="0039673B" w:rsidRPr="00DB20F6" w:rsidRDefault="0039673B" w:rsidP="00C07BA6">
            <w:pPr>
              <w:rPr>
                <w:rFonts w:cstheme="minorHAnsi"/>
                <w:color w:val="000000"/>
                <w:sz w:val="16"/>
                <w:szCs w:val="16"/>
              </w:rPr>
            </w:pPr>
            <w:r w:rsidRPr="00DB20F6">
              <w:rPr>
                <w:color w:val="000000"/>
                <w:sz w:val="16"/>
              </w:rPr>
              <w:t>République tchèque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F175489"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D12E8E8" w14:textId="77777777" w:rsidR="0039673B" w:rsidRPr="00DB20F6" w:rsidRDefault="0039673B" w:rsidP="00C07BA6">
            <w:pPr>
              <w:jc w:val="right"/>
              <w:rPr>
                <w:rFonts w:cstheme="minorHAnsi"/>
                <w:color w:val="000000"/>
                <w:sz w:val="16"/>
                <w:szCs w:val="16"/>
              </w:rPr>
            </w:pPr>
            <w:r w:rsidRPr="00DB20F6">
              <w:rPr>
                <w:color w:val="000000"/>
                <w:sz w:val="16"/>
              </w:rPr>
              <w:t>11.791,5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97DDDA6" w14:textId="77777777" w:rsidR="0039673B" w:rsidRPr="00DB20F6" w:rsidRDefault="0039673B" w:rsidP="00C07BA6">
            <w:pPr>
              <w:jc w:val="right"/>
              <w:rPr>
                <w:rFonts w:cstheme="minorHAnsi"/>
                <w:color w:val="000000"/>
                <w:sz w:val="16"/>
                <w:szCs w:val="16"/>
              </w:rPr>
            </w:pPr>
            <w:r w:rsidRPr="00DB20F6">
              <w:rPr>
                <w:color w:val="000000"/>
                <w:sz w:val="16"/>
              </w:rPr>
              <w:t>8.023,5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CAD338C" w14:textId="77777777" w:rsidR="0039673B" w:rsidRPr="00DB20F6" w:rsidRDefault="0039673B" w:rsidP="00C07BA6">
            <w:pPr>
              <w:jc w:val="right"/>
              <w:rPr>
                <w:rFonts w:cstheme="minorHAnsi"/>
                <w:color w:val="000000"/>
                <w:sz w:val="16"/>
                <w:szCs w:val="16"/>
              </w:rPr>
            </w:pPr>
            <w:r w:rsidRPr="00DB20F6">
              <w:rPr>
                <w:color w:val="000000"/>
                <w:sz w:val="16"/>
              </w:rPr>
              <w:t>-32,0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9F60A5" w14:textId="77777777" w:rsidR="0039673B" w:rsidRPr="00DB20F6" w:rsidRDefault="0039673B" w:rsidP="00C07BA6">
            <w:pPr>
              <w:jc w:val="right"/>
              <w:rPr>
                <w:rFonts w:cstheme="minorHAnsi"/>
                <w:color w:val="000000"/>
                <w:sz w:val="16"/>
                <w:szCs w:val="16"/>
              </w:rPr>
            </w:pPr>
            <w:r w:rsidRPr="00DB20F6">
              <w:rPr>
                <w:color w:val="000000"/>
                <w:sz w:val="16"/>
              </w:rPr>
              <w:t>0,8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4B6B3D" w14:textId="77777777" w:rsidR="0039673B" w:rsidRPr="00DB20F6" w:rsidRDefault="0039673B" w:rsidP="00C07BA6">
            <w:pPr>
              <w:jc w:val="right"/>
              <w:rPr>
                <w:rFonts w:cstheme="minorHAnsi"/>
                <w:color w:val="000000"/>
                <w:sz w:val="16"/>
                <w:szCs w:val="16"/>
              </w:rPr>
            </w:pPr>
            <w:r w:rsidRPr="00DB20F6">
              <w:rPr>
                <w:color w:val="000000"/>
                <w:sz w:val="16"/>
              </w:rPr>
              <w:t>4.497,1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5DE013" w14:textId="77777777" w:rsidR="0039673B" w:rsidRPr="00DB20F6" w:rsidRDefault="0039673B" w:rsidP="00C07BA6">
            <w:pPr>
              <w:jc w:val="right"/>
              <w:rPr>
                <w:rFonts w:cstheme="minorHAnsi"/>
                <w:color w:val="000000"/>
                <w:sz w:val="16"/>
                <w:szCs w:val="16"/>
              </w:rPr>
            </w:pPr>
            <w:r w:rsidRPr="00DB20F6">
              <w:rPr>
                <w:color w:val="000000"/>
                <w:sz w:val="16"/>
              </w:rPr>
              <w:t>6.506,1</w:t>
            </w:r>
          </w:p>
        </w:tc>
        <w:tc>
          <w:tcPr>
            <w:tcW w:w="639" w:type="dxa"/>
            <w:tcBorders>
              <w:top w:val="nil"/>
              <w:left w:val="nil"/>
              <w:bottom w:val="single" w:sz="4" w:space="0" w:color="FFFFFF" w:themeColor="background1"/>
              <w:right w:val="nil"/>
            </w:tcBorders>
            <w:shd w:val="clear" w:color="auto" w:fill="auto"/>
            <w:noWrap/>
            <w:vAlign w:val="bottom"/>
            <w:hideMark/>
          </w:tcPr>
          <w:p w14:paraId="1069F55F" w14:textId="77777777" w:rsidR="0039673B" w:rsidRPr="00DB20F6" w:rsidRDefault="0039673B" w:rsidP="00C07BA6">
            <w:pPr>
              <w:jc w:val="right"/>
              <w:rPr>
                <w:rFonts w:cstheme="minorHAnsi"/>
                <w:color w:val="000000"/>
                <w:sz w:val="16"/>
                <w:szCs w:val="16"/>
              </w:rPr>
            </w:pPr>
            <w:r w:rsidRPr="00DB20F6">
              <w:rPr>
                <w:color w:val="000000"/>
                <w:sz w:val="16"/>
              </w:rPr>
              <w:t>44,7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BF70764" w14:textId="77777777" w:rsidR="0039673B" w:rsidRPr="00DB20F6" w:rsidRDefault="0039673B" w:rsidP="00C07BA6">
            <w:pPr>
              <w:jc w:val="right"/>
              <w:rPr>
                <w:rFonts w:cstheme="minorHAnsi"/>
                <w:color w:val="000000"/>
                <w:sz w:val="16"/>
                <w:szCs w:val="16"/>
              </w:rPr>
            </w:pPr>
            <w:r w:rsidRPr="00DB20F6">
              <w:rPr>
                <w:color w:val="000000"/>
                <w:sz w:val="16"/>
              </w:rPr>
              <w:t>81,1</w:t>
            </w:r>
          </w:p>
        </w:tc>
      </w:tr>
      <w:tr w:rsidR="0039673B" w:rsidRPr="00DB20F6" w14:paraId="2A86CBBA"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4A339D3" w14:textId="77777777" w:rsidR="0039673B" w:rsidRPr="00DB20F6" w:rsidRDefault="0039673B" w:rsidP="00C07BA6">
            <w:pPr>
              <w:rPr>
                <w:rFonts w:cstheme="minorHAnsi"/>
                <w:color w:val="000000"/>
                <w:sz w:val="16"/>
                <w:szCs w:val="16"/>
              </w:rPr>
            </w:pPr>
            <w:r w:rsidRPr="00DB20F6">
              <w:rPr>
                <w:color w:val="000000"/>
                <w:sz w:val="16"/>
              </w:rPr>
              <w:t>Danemark</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4EE452C" w14:textId="77777777" w:rsidR="0039673B" w:rsidRPr="00DB20F6" w:rsidRDefault="0039673B" w:rsidP="00C07BA6">
            <w:pPr>
              <w:jc w:val="right"/>
              <w:rPr>
                <w:rFonts w:cstheme="minorHAnsi"/>
                <w:color w:val="000000"/>
                <w:sz w:val="16"/>
                <w:szCs w:val="16"/>
              </w:rPr>
            </w:pPr>
            <w:r w:rsidRPr="00DB20F6">
              <w:rPr>
                <w:color w:val="000000"/>
                <w:sz w:val="16"/>
              </w:rPr>
              <w:t>2,3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3E06395" w14:textId="77777777" w:rsidR="0039673B" w:rsidRPr="00DB20F6" w:rsidRDefault="0039673B" w:rsidP="00C07BA6">
            <w:pPr>
              <w:jc w:val="right"/>
              <w:rPr>
                <w:rFonts w:cstheme="minorHAnsi"/>
                <w:color w:val="000000"/>
                <w:sz w:val="16"/>
                <w:szCs w:val="16"/>
              </w:rPr>
            </w:pPr>
            <w:r w:rsidRPr="00DB20F6">
              <w:rPr>
                <w:color w:val="000000"/>
                <w:sz w:val="16"/>
              </w:rPr>
              <w:t>27.507,9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2590041" w14:textId="77777777" w:rsidR="0039673B" w:rsidRPr="00DB20F6" w:rsidRDefault="0039673B" w:rsidP="00C07BA6">
            <w:pPr>
              <w:jc w:val="right"/>
              <w:rPr>
                <w:rFonts w:cstheme="minorHAnsi"/>
                <w:color w:val="000000"/>
                <w:sz w:val="16"/>
                <w:szCs w:val="16"/>
              </w:rPr>
            </w:pPr>
            <w:r w:rsidRPr="00DB20F6">
              <w:rPr>
                <w:color w:val="000000"/>
                <w:sz w:val="16"/>
              </w:rPr>
              <w:t>27.580,6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B6B8F23"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5EFD2A" w14:textId="77777777" w:rsidR="0039673B" w:rsidRPr="00DB20F6" w:rsidRDefault="0039673B" w:rsidP="00C07BA6">
            <w:pPr>
              <w:jc w:val="right"/>
              <w:rPr>
                <w:rFonts w:cstheme="minorHAnsi"/>
                <w:color w:val="000000"/>
                <w:sz w:val="16"/>
                <w:szCs w:val="16"/>
              </w:rPr>
            </w:pPr>
            <w:r w:rsidRPr="00DB20F6">
              <w:rPr>
                <w:color w:val="000000"/>
                <w:sz w:val="16"/>
              </w:rPr>
              <w:t>0,4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F233116" w14:textId="77777777" w:rsidR="0039673B" w:rsidRPr="00DB20F6" w:rsidRDefault="0039673B" w:rsidP="00C07BA6">
            <w:pPr>
              <w:jc w:val="right"/>
              <w:rPr>
                <w:rFonts w:cstheme="minorHAnsi"/>
                <w:color w:val="000000"/>
                <w:sz w:val="16"/>
                <w:szCs w:val="16"/>
              </w:rPr>
            </w:pPr>
            <w:r w:rsidRPr="00DB20F6">
              <w:rPr>
                <w:color w:val="000000"/>
                <w:sz w:val="16"/>
              </w:rPr>
              <w:t>3.902,2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1F0A82" w14:textId="77777777" w:rsidR="0039673B" w:rsidRPr="00DB20F6" w:rsidRDefault="0039673B" w:rsidP="00C07BA6">
            <w:pPr>
              <w:jc w:val="right"/>
              <w:rPr>
                <w:rFonts w:cstheme="minorHAnsi"/>
                <w:color w:val="000000"/>
                <w:sz w:val="16"/>
                <w:szCs w:val="16"/>
              </w:rPr>
            </w:pPr>
            <w:r w:rsidRPr="00DB20F6">
              <w:rPr>
                <w:color w:val="000000"/>
                <w:sz w:val="16"/>
              </w:rPr>
              <w:t>2.965,9</w:t>
            </w:r>
          </w:p>
        </w:tc>
        <w:tc>
          <w:tcPr>
            <w:tcW w:w="639" w:type="dxa"/>
            <w:tcBorders>
              <w:top w:val="nil"/>
              <w:left w:val="nil"/>
              <w:bottom w:val="single" w:sz="4" w:space="0" w:color="FFFFFF" w:themeColor="background1"/>
              <w:right w:val="nil"/>
            </w:tcBorders>
            <w:shd w:val="clear" w:color="auto" w:fill="auto"/>
            <w:noWrap/>
            <w:vAlign w:val="bottom"/>
            <w:hideMark/>
          </w:tcPr>
          <w:p w14:paraId="25E2FE43" w14:textId="77777777" w:rsidR="0039673B" w:rsidRPr="00DB20F6" w:rsidRDefault="0039673B" w:rsidP="00C07BA6">
            <w:pPr>
              <w:jc w:val="right"/>
              <w:rPr>
                <w:rFonts w:cstheme="minorHAnsi"/>
                <w:color w:val="000000"/>
                <w:sz w:val="16"/>
                <w:szCs w:val="16"/>
              </w:rPr>
            </w:pPr>
            <w:r w:rsidRPr="00DB20F6">
              <w:rPr>
                <w:color w:val="000000"/>
                <w:sz w:val="16"/>
              </w:rPr>
              <w:t>-24,0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0410C70" w14:textId="77777777" w:rsidR="0039673B" w:rsidRPr="00DB20F6" w:rsidRDefault="0039673B" w:rsidP="00C07BA6">
            <w:pPr>
              <w:jc w:val="right"/>
              <w:rPr>
                <w:rFonts w:cstheme="minorHAnsi"/>
                <w:color w:val="000000"/>
                <w:sz w:val="16"/>
                <w:szCs w:val="16"/>
              </w:rPr>
            </w:pPr>
            <w:r w:rsidRPr="00DB20F6">
              <w:rPr>
                <w:color w:val="000000"/>
                <w:sz w:val="16"/>
              </w:rPr>
              <w:t>10,8</w:t>
            </w:r>
          </w:p>
        </w:tc>
      </w:tr>
      <w:tr w:rsidR="0039673B" w:rsidRPr="00DB20F6" w14:paraId="5DAA912E"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0426A67" w14:textId="77777777" w:rsidR="0039673B" w:rsidRPr="00DB20F6" w:rsidRDefault="0039673B" w:rsidP="00C07BA6">
            <w:pPr>
              <w:rPr>
                <w:rFonts w:cstheme="minorHAnsi"/>
                <w:color w:val="000000"/>
                <w:sz w:val="16"/>
                <w:szCs w:val="16"/>
              </w:rPr>
            </w:pPr>
            <w:r w:rsidRPr="00DB20F6">
              <w:rPr>
                <w:color w:val="000000"/>
                <w:sz w:val="16"/>
              </w:rPr>
              <w:t>Lituanie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EF89E00" w14:textId="77777777" w:rsidR="0039673B" w:rsidRPr="00DB20F6" w:rsidRDefault="0039673B" w:rsidP="00C07BA6">
            <w:pPr>
              <w:jc w:val="right"/>
              <w:rPr>
                <w:rFonts w:cstheme="minorHAnsi"/>
                <w:color w:val="000000"/>
                <w:sz w:val="16"/>
                <w:szCs w:val="16"/>
              </w:rPr>
            </w:pPr>
            <w:r w:rsidRPr="00DB20F6">
              <w:rPr>
                <w:color w:val="000000"/>
                <w:sz w:val="16"/>
              </w:rPr>
              <w:t>1,2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2D242C4" w14:textId="77777777" w:rsidR="0039673B" w:rsidRPr="00DB20F6" w:rsidRDefault="0039673B" w:rsidP="00C07BA6">
            <w:pPr>
              <w:jc w:val="right"/>
              <w:rPr>
                <w:rFonts w:cstheme="minorHAnsi"/>
                <w:color w:val="000000"/>
                <w:sz w:val="16"/>
                <w:szCs w:val="16"/>
              </w:rPr>
            </w:pPr>
            <w:r w:rsidRPr="00DB20F6">
              <w:rPr>
                <w:color w:val="000000"/>
                <w:sz w:val="16"/>
              </w:rPr>
              <w:t>13.943,1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5807BC" w14:textId="77777777" w:rsidR="0039673B" w:rsidRPr="00DB20F6" w:rsidRDefault="0039673B" w:rsidP="00C07BA6">
            <w:pPr>
              <w:jc w:val="right"/>
              <w:rPr>
                <w:rFonts w:cstheme="minorHAnsi"/>
                <w:color w:val="000000"/>
                <w:sz w:val="16"/>
                <w:szCs w:val="16"/>
              </w:rPr>
            </w:pPr>
            <w:r w:rsidRPr="00DB20F6">
              <w:rPr>
                <w:color w:val="000000"/>
                <w:sz w:val="16"/>
              </w:rPr>
              <w:t>14.025,9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72D896B" w14:textId="77777777" w:rsidR="0039673B" w:rsidRPr="00DB20F6" w:rsidRDefault="0039673B" w:rsidP="00C07BA6">
            <w:pPr>
              <w:jc w:val="right"/>
              <w:rPr>
                <w:rFonts w:cstheme="minorHAnsi"/>
                <w:color w:val="000000"/>
                <w:sz w:val="16"/>
                <w:szCs w:val="16"/>
              </w:rPr>
            </w:pPr>
            <w:r w:rsidRPr="00DB20F6">
              <w:rPr>
                <w:color w:val="000000"/>
                <w:sz w:val="16"/>
              </w:rPr>
              <w:t>0,6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FDC1B6"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FD35EA" w14:textId="77777777" w:rsidR="0039673B" w:rsidRPr="00DB20F6" w:rsidRDefault="0039673B" w:rsidP="00C07BA6">
            <w:pPr>
              <w:jc w:val="right"/>
              <w:rPr>
                <w:rFonts w:cstheme="minorHAnsi"/>
                <w:color w:val="000000"/>
                <w:sz w:val="16"/>
                <w:szCs w:val="16"/>
              </w:rPr>
            </w:pPr>
            <w:r w:rsidRPr="00DB20F6">
              <w:rPr>
                <w:color w:val="000000"/>
                <w:sz w:val="16"/>
              </w:rPr>
              <w:t>1.998,0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0A20D6" w14:textId="77777777" w:rsidR="0039673B" w:rsidRPr="00DB20F6" w:rsidRDefault="0039673B" w:rsidP="00C07BA6">
            <w:pPr>
              <w:jc w:val="right"/>
              <w:rPr>
                <w:rFonts w:cstheme="minorHAnsi"/>
                <w:color w:val="000000"/>
                <w:sz w:val="16"/>
                <w:szCs w:val="16"/>
              </w:rPr>
            </w:pPr>
            <w:r w:rsidRPr="00DB20F6">
              <w:rPr>
                <w:color w:val="000000"/>
                <w:sz w:val="16"/>
              </w:rPr>
              <w:t>2.671,0</w:t>
            </w:r>
          </w:p>
        </w:tc>
        <w:tc>
          <w:tcPr>
            <w:tcW w:w="639" w:type="dxa"/>
            <w:tcBorders>
              <w:top w:val="nil"/>
              <w:left w:val="nil"/>
              <w:bottom w:val="single" w:sz="4" w:space="0" w:color="FFFFFF" w:themeColor="background1"/>
              <w:right w:val="nil"/>
            </w:tcBorders>
            <w:shd w:val="clear" w:color="auto" w:fill="auto"/>
            <w:noWrap/>
            <w:vAlign w:val="bottom"/>
            <w:hideMark/>
          </w:tcPr>
          <w:p w14:paraId="799A6883" w14:textId="77777777" w:rsidR="0039673B" w:rsidRPr="00DB20F6" w:rsidRDefault="0039673B" w:rsidP="00C07BA6">
            <w:pPr>
              <w:jc w:val="right"/>
              <w:rPr>
                <w:rFonts w:cstheme="minorHAnsi"/>
                <w:color w:val="000000"/>
                <w:sz w:val="16"/>
                <w:szCs w:val="16"/>
              </w:rPr>
            </w:pPr>
            <w:r w:rsidRPr="00DB20F6">
              <w:rPr>
                <w:color w:val="000000"/>
                <w:sz w:val="16"/>
              </w:rPr>
              <w:t>33,7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3A86154" w14:textId="77777777" w:rsidR="0039673B" w:rsidRPr="00DB20F6" w:rsidRDefault="0039673B" w:rsidP="00C07BA6">
            <w:pPr>
              <w:jc w:val="right"/>
              <w:rPr>
                <w:rFonts w:cstheme="minorHAnsi"/>
                <w:color w:val="000000"/>
                <w:sz w:val="16"/>
                <w:szCs w:val="16"/>
              </w:rPr>
            </w:pPr>
            <w:r w:rsidRPr="00DB20F6">
              <w:rPr>
                <w:color w:val="000000"/>
                <w:sz w:val="16"/>
              </w:rPr>
              <w:t>19,0</w:t>
            </w:r>
          </w:p>
        </w:tc>
      </w:tr>
      <w:tr w:rsidR="0039673B" w:rsidRPr="00DB20F6" w14:paraId="14A517C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73907E5B" w14:textId="77777777" w:rsidR="0039673B" w:rsidRPr="00DB20F6" w:rsidRDefault="0039673B" w:rsidP="00C07BA6">
            <w:pPr>
              <w:rPr>
                <w:rFonts w:cstheme="minorHAnsi"/>
                <w:color w:val="000000"/>
                <w:sz w:val="16"/>
                <w:szCs w:val="16"/>
              </w:rPr>
            </w:pPr>
            <w:r w:rsidRPr="00DB20F6">
              <w:rPr>
                <w:color w:val="000000"/>
                <w:sz w:val="16"/>
              </w:rPr>
              <w:t>Roumanie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94C5170" w14:textId="77777777" w:rsidR="0039673B" w:rsidRPr="00DB20F6" w:rsidRDefault="0039673B" w:rsidP="00C07BA6">
            <w:pPr>
              <w:jc w:val="right"/>
              <w:rPr>
                <w:rFonts w:cstheme="minorHAnsi"/>
                <w:color w:val="000000"/>
                <w:sz w:val="16"/>
                <w:szCs w:val="16"/>
              </w:rPr>
            </w:pPr>
            <w:r w:rsidRPr="00DB20F6">
              <w:rPr>
                <w:color w:val="000000"/>
                <w:sz w:val="16"/>
              </w:rPr>
              <w:t>2,2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FDCEA36" w14:textId="77777777" w:rsidR="0039673B" w:rsidRPr="00DB20F6" w:rsidRDefault="0039673B" w:rsidP="00C07BA6">
            <w:pPr>
              <w:jc w:val="right"/>
              <w:rPr>
                <w:rFonts w:cstheme="minorHAnsi"/>
                <w:color w:val="000000"/>
                <w:sz w:val="16"/>
                <w:szCs w:val="16"/>
              </w:rPr>
            </w:pPr>
            <w:r w:rsidRPr="00DB20F6">
              <w:rPr>
                <w:color w:val="000000"/>
                <w:sz w:val="16"/>
              </w:rPr>
              <w:t>29.642,6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912001E" w14:textId="77777777" w:rsidR="0039673B" w:rsidRPr="00DB20F6" w:rsidRDefault="0039673B" w:rsidP="00C07BA6">
            <w:pPr>
              <w:jc w:val="right"/>
              <w:rPr>
                <w:rFonts w:cstheme="minorHAnsi"/>
                <w:color w:val="000000"/>
                <w:sz w:val="16"/>
                <w:szCs w:val="16"/>
              </w:rPr>
            </w:pPr>
            <w:r w:rsidRPr="00DB20F6">
              <w:rPr>
                <w:color w:val="000000"/>
                <w:sz w:val="16"/>
              </w:rPr>
              <w:t>27.334,2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29B6B51" w14:textId="77777777" w:rsidR="0039673B" w:rsidRPr="00DB20F6" w:rsidRDefault="0039673B" w:rsidP="00C07BA6">
            <w:pPr>
              <w:jc w:val="right"/>
              <w:rPr>
                <w:rFonts w:cstheme="minorHAnsi"/>
                <w:color w:val="000000"/>
                <w:sz w:val="16"/>
                <w:szCs w:val="16"/>
              </w:rPr>
            </w:pPr>
            <w:r w:rsidRPr="00DB20F6">
              <w:rPr>
                <w:color w:val="000000"/>
                <w:sz w:val="16"/>
              </w:rPr>
              <w:t>-7,8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70FC42"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8A574E" w14:textId="77777777" w:rsidR="0039673B" w:rsidRPr="00DB20F6" w:rsidRDefault="0039673B" w:rsidP="00C07BA6">
            <w:pPr>
              <w:jc w:val="right"/>
              <w:rPr>
                <w:rFonts w:cstheme="minorHAnsi"/>
                <w:color w:val="000000"/>
                <w:sz w:val="16"/>
                <w:szCs w:val="16"/>
              </w:rPr>
            </w:pPr>
            <w:r w:rsidRPr="00DB20F6">
              <w:rPr>
                <w:color w:val="000000"/>
                <w:sz w:val="16"/>
              </w:rPr>
              <w:t>1.984,2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441152" w14:textId="77777777" w:rsidR="0039673B" w:rsidRPr="00DB20F6" w:rsidRDefault="0039673B" w:rsidP="00C07BA6">
            <w:pPr>
              <w:jc w:val="right"/>
              <w:rPr>
                <w:rFonts w:cstheme="minorHAnsi"/>
                <w:color w:val="000000"/>
                <w:sz w:val="16"/>
                <w:szCs w:val="16"/>
              </w:rPr>
            </w:pPr>
            <w:r w:rsidRPr="00DB20F6">
              <w:rPr>
                <w:color w:val="000000"/>
                <w:sz w:val="16"/>
              </w:rPr>
              <w:t>1.260,2</w:t>
            </w:r>
          </w:p>
        </w:tc>
        <w:tc>
          <w:tcPr>
            <w:tcW w:w="639" w:type="dxa"/>
            <w:tcBorders>
              <w:top w:val="nil"/>
              <w:left w:val="nil"/>
              <w:bottom w:val="single" w:sz="4" w:space="0" w:color="FFFFFF" w:themeColor="background1"/>
              <w:right w:val="nil"/>
            </w:tcBorders>
            <w:shd w:val="clear" w:color="auto" w:fill="auto"/>
            <w:noWrap/>
            <w:vAlign w:val="bottom"/>
            <w:hideMark/>
          </w:tcPr>
          <w:p w14:paraId="2859434B" w14:textId="77777777" w:rsidR="0039673B" w:rsidRPr="00DB20F6" w:rsidRDefault="0039673B" w:rsidP="00C07BA6">
            <w:pPr>
              <w:jc w:val="right"/>
              <w:rPr>
                <w:rFonts w:cstheme="minorHAnsi"/>
                <w:color w:val="000000"/>
                <w:sz w:val="16"/>
                <w:szCs w:val="16"/>
              </w:rPr>
            </w:pPr>
            <w:r w:rsidRPr="00DB20F6">
              <w:rPr>
                <w:color w:val="000000"/>
                <w:sz w:val="16"/>
              </w:rPr>
              <w:t>-36,5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377592F" w14:textId="77777777" w:rsidR="0039673B" w:rsidRPr="00DB20F6" w:rsidRDefault="0039673B" w:rsidP="00C07BA6">
            <w:pPr>
              <w:jc w:val="right"/>
              <w:rPr>
                <w:rFonts w:cstheme="minorHAnsi"/>
                <w:color w:val="000000"/>
                <w:sz w:val="16"/>
                <w:szCs w:val="16"/>
              </w:rPr>
            </w:pPr>
            <w:r w:rsidRPr="00DB20F6">
              <w:rPr>
                <w:color w:val="000000"/>
                <w:sz w:val="16"/>
              </w:rPr>
              <w:t>4,6</w:t>
            </w:r>
          </w:p>
        </w:tc>
      </w:tr>
      <w:tr w:rsidR="0039673B" w:rsidRPr="00DB20F6" w14:paraId="0113178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C8CD2A8" w14:textId="77777777" w:rsidR="0039673B" w:rsidRPr="00DB20F6" w:rsidRDefault="0039673B" w:rsidP="00C07BA6">
            <w:pPr>
              <w:rPr>
                <w:rFonts w:cstheme="minorHAnsi"/>
                <w:color w:val="000000"/>
                <w:sz w:val="16"/>
                <w:szCs w:val="16"/>
              </w:rPr>
            </w:pPr>
            <w:r w:rsidRPr="00DB20F6">
              <w:rPr>
                <w:color w:val="000000"/>
                <w:sz w:val="16"/>
              </w:rPr>
              <w:t>Grèce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17A2975"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69550B6" w14:textId="77777777" w:rsidR="0039673B" w:rsidRPr="00DB20F6" w:rsidRDefault="0039673B" w:rsidP="00C07BA6">
            <w:pPr>
              <w:jc w:val="right"/>
              <w:rPr>
                <w:rFonts w:cstheme="minorHAnsi"/>
                <w:color w:val="000000"/>
                <w:sz w:val="16"/>
                <w:szCs w:val="16"/>
              </w:rPr>
            </w:pPr>
            <w:r w:rsidRPr="00DB20F6">
              <w:rPr>
                <w:color w:val="000000"/>
                <w:sz w:val="16"/>
              </w:rPr>
              <w:t>150,4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9461C7A" w14:textId="77777777" w:rsidR="0039673B" w:rsidRPr="00DB20F6" w:rsidRDefault="0039673B" w:rsidP="00C07BA6">
            <w:pPr>
              <w:jc w:val="right"/>
              <w:rPr>
                <w:rFonts w:cstheme="minorHAnsi"/>
                <w:color w:val="000000"/>
                <w:sz w:val="16"/>
                <w:szCs w:val="16"/>
              </w:rPr>
            </w:pPr>
            <w:r w:rsidRPr="00DB20F6">
              <w:rPr>
                <w:color w:val="000000"/>
                <w:sz w:val="16"/>
              </w:rPr>
              <w:t>123,5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1BF3D4D" w14:textId="77777777" w:rsidR="0039673B" w:rsidRPr="00DB20F6" w:rsidRDefault="0039673B" w:rsidP="00C07BA6">
            <w:pPr>
              <w:jc w:val="right"/>
              <w:rPr>
                <w:rFonts w:cstheme="minorHAnsi"/>
                <w:color w:val="000000"/>
                <w:sz w:val="16"/>
                <w:szCs w:val="16"/>
              </w:rPr>
            </w:pPr>
            <w:r w:rsidRPr="00DB20F6">
              <w:rPr>
                <w:color w:val="000000"/>
                <w:sz w:val="16"/>
              </w:rPr>
              <w:t>-17,9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9F89AA"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711EAB" w14:textId="77777777" w:rsidR="0039673B" w:rsidRPr="00DB20F6" w:rsidRDefault="0039673B" w:rsidP="00C07BA6">
            <w:pPr>
              <w:jc w:val="right"/>
              <w:rPr>
                <w:rFonts w:cstheme="minorHAnsi"/>
                <w:color w:val="000000"/>
                <w:sz w:val="16"/>
                <w:szCs w:val="16"/>
              </w:rPr>
            </w:pPr>
            <w:r w:rsidRPr="00DB20F6">
              <w:rPr>
                <w:color w:val="000000"/>
                <w:sz w:val="16"/>
              </w:rPr>
              <w:t>2.078,7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B24CC7" w14:textId="77777777" w:rsidR="0039673B" w:rsidRPr="00DB20F6" w:rsidRDefault="0039673B" w:rsidP="00C07BA6">
            <w:pPr>
              <w:jc w:val="right"/>
              <w:rPr>
                <w:rFonts w:cstheme="minorHAnsi"/>
                <w:color w:val="000000"/>
                <w:sz w:val="16"/>
                <w:szCs w:val="16"/>
              </w:rPr>
            </w:pPr>
            <w:r w:rsidRPr="00DB20F6">
              <w:rPr>
                <w:color w:val="000000"/>
                <w:sz w:val="16"/>
              </w:rPr>
              <w:t>2.185,9</w:t>
            </w:r>
          </w:p>
        </w:tc>
        <w:tc>
          <w:tcPr>
            <w:tcW w:w="639" w:type="dxa"/>
            <w:tcBorders>
              <w:top w:val="nil"/>
              <w:left w:val="nil"/>
              <w:bottom w:val="single" w:sz="4" w:space="0" w:color="FFFFFF" w:themeColor="background1"/>
              <w:right w:val="nil"/>
            </w:tcBorders>
            <w:shd w:val="clear" w:color="auto" w:fill="auto"/>
            <w:noWrap/>
            <w:vAlign w:val="bottom"/>
            <w:hideMark/>
          </w:tcPr>
          <w:p w14:paraId="04385327" w14:textId="77777777" w:rsidR="0039673B" w:rsidRPr="00DB20F6" w:rsidRDefault="0039673B" w:rsidP="00C07BA6">
            <w:pPr>
              <w:jc w:val="right"/>
              <w:rPr>
                <w:rFonts w:cstheme="minorHAnsi"/>
                <w:color w:val="000000"/>
                <w:sz w:val="16"/>
                <w:szCs w:val="16"/>
              </w:rPr>
            </w:pPr>
            <w:r w:rsidRPr="00DB20F6">
              <w:rPr>
                <w:color w:val="000000"/>
                <w:sz w:val="16"/>
              </w:rPr>
              <w:t>5,2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FDA9F02" w14:textId="77777777" w:rsidR="0039673B" w:rsidRPr="00DB20F6" w:rsidRDefault="0039673B" w:rsidP="00C07BA6">
            <w:pPr>
              <w:jc w:val="right"/>
              <w:rPr>
                <w:rFonts w:cstheme="minorHAnsi"/>
                <w:color w:val="000000"/>
                <w:sz w:val="16"/>
                <w:szCs w:val="16"/>
              </w:rPr>
            </w:pPr>
            <w:r w:rsidRPr="00DB20F6">
              <w:rPr>
                <w:color w:val="000000"/>
                <w:sz w:val="16"/>
              </w:rPr>
              <w:t>1.770,6</w:t>
            </w:r>
          </w:p>
        </w:tc>
      </w:tr>
      <w:tr w:rsidR="0039673B" w:rsidRPr="00DB20F6" w14:paraId="6920E09F"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4794212" w14:textId="77777777" w:rsidR="0039673B" w:rsidRPr="00DB20F6" w:rsidRDefault="0039673B" w:rsidP="00C07BA6">
            <w:pPr>
              <w:rPr>
                <w:rFonts w:cstheme="minorHAnsi"/>
                <w:color w:val="000000"/>
                <w:sz w:val="16"/>
                <w:szCs w:val="16"/>
              </w:rPr>
            </w:pPr>
            <w:r w:rsidRPr="00DB20F6">
              <w:rPr>
                <w:color w:val="000000"/>
                <w:sz w:val="16"/>
              </w:rPr>
              <w:t>Hongrie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E88BB3"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442B31" w14:textId="77777777" w:rsidR="0039673B" w:rsidRPr="00DB20F6" w:rsidRDefault="0039673B" w:rsidP="00C07BA6">
            <w:pPr>
              <w:jc w:val="right"/>
              <w:rPr>
                <w:rFonts w:cstheme="minorHAnsi"/>
                <w:color w:val="000000"/>
                <w:sz w:val="16"/>
                <w:szCs w:val="16"/>
              </w:rPr>
            </w:pPr>
            <w:r w:rsidRPr="00DB20F6">
              <w:rPr>
                <w:color w:val="000000"/>
                <w:sz w:val="16"/>
              </w:rPr>
              <w:t>9.348,0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039D67D" w14:textId="77777777" w:rsidR="0039673B" w:rsidRPr="00DB20F6" w:rsidRDefault="0039673B" w:rsidP="00C07BA6">
            <w:pPr>
              <w:jc w:val="right"/>
              <w:rPr>
                <w:rFonts w:cstheme="minorHAnsi"/>
                <w:color w:val="000000"/>
                <w:sz w:val="16"/>
                <w:szCs w:val="16"/>
              </w:rPr>
            </w:pPr>
            <w:r w:rsidRPr="00DB20F6">
              <w:rPr>
                <w:color w:val="000000"/>
                <w:sz w:val="16"/>
              </w:rPr>
              <w:t>8.687,0</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5E62B2A" w14:textId="77777777" w:rsidR="0039673B" w:rsidRPr="00DB20F6" w:rsidRDefault="0039673B" w:rsidP="00C07BA6">
            <w:pPr>
              <w:jc w:val="right"/>
              <w:rPr>
                <w:rFonts w:cstheme="minorHAnsi"/>
                <w:color w:val="000000"/>
                <w:sz w:val="16"/>
                <w:szCs w:val="16"/>
              </w:rPr>
            </w:pPr>
            <w:r w:rsidRPr="00DB20F6">
              <w:rPr>
                <w:color w:val="000000"/>
                <w:sz w:val="16"/>
              </w:rPr>
              <w:t>-7,1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12B51D"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BADE9E" w14:textId="77777777" w:rsidR="0039673B" w:rsidRPr="00DB20F6" w:rsidRDefault="0039673B" w:rsidP="00C07BA6">
            <w:pPr>
              <w:jc w:val="right"/>
              <w:rPr>
                <w:rFonts w:cstheme="minorHAnsi"/>
                <w:color w:val="000000"/>
                <w:sz w:val="16"/>
                <w:szCs w:val="16"/>
              </w:rPr>
            </w:pPr>
            <w:r w:rsidRPr="00DB20F6">
              <w:rPr>
                <w:color w:val="000000"/>
                <w:sz w:val="16"/>
              </w:rPr>
              <w:t>1.910,1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DFB3F5E" w14:textId="77777777" w:rsidR="0039673B" w:rsidRPr="00DB20F6" w:rsidRDefault="0039673B" w:rsidP="00C07BA6">
            <w:pPr>
              <w:jc w:val="right"/>
              <w:rPr>
                <w:rFonts w:cstheme="minorHAnsi"/>
                <w:color w:val="000000"/>
                <w:sz w:val="16"/>
                <w:szCs w:val="16"/>
              </w:rPr>
            </w:pPr>
            <w:r w:rsidRPr="00DB20F6">
              <w:rPr>
                <w:color w:val="000000"/>
                <w:sz w:val="16"/>
              </w:rPr>
              <w:t>726,0</w:t>
            </w:r>
          </w:p>
        </w:tc>
        <w:tc>
          <w:tcPr>
            <w:tcW w:w="639" w:type="dxa"/>
            <w:tcBorders>
              <w:top w:val="nil"/>
              <w:left w:val="nil"/>
              <w:bottom w:val="single" w:sz="4" w:space="0" w:color="FFFFFF" w:themeColor="background1"/>
              <w:right w:val="nil"/>
            </w:tcBorders>
            <w:shd w:val="clear" w:color="auto" w:fill="auto"/>
            <w:noWrap/>
            <w:vAlign w:val="bottom"/>
            <w:hideMark/>
          </w:tcPr>
          <w:p w14:paraId="5ABAEF9C" w14:textId="77777777" w:rsidR="0039673B" w:rsidRPr="00DB20F6" w:rsidRDefault="0039673B" w:rsidP="00C07BA6">
            <w:pPr>
              <w:jc w:val="right"/>
              <w:rPr>
                <w:rFonts w:cstheme="minorHAnsi"/>
                <w:color w:val="000000"/>
                <w:sz w:val="16"/>
                <w:szCs w:val="16"/>
              </w:rPr>
            </w:pPr>
            <w:r w:rsidRPr="00DB20F6">
              <w:rPr>
                <w:color w:val="000000"/>
                <w:sz w:val="16"/>
              </w:rPr>
              <w:t>-62,0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871441" w14:textId="77777777" w:rsidR="0039673B" w:rsidRPr="00DB20F6" w:rsidRDefault="0039673B" w:rsidP="00C07BA6">
            <w:pPr>
              <w:jc w:val="right"/>
              <w:rPr>
                <w:rFonts w:cstheme="minorHAnsi"/>
                <w:color w:val="000000"/>
                <w:sz w:val="16"/>
                <w:szCs w:val="16"/>
              </w:rPr>
            </w:pPr>
            <w:r w:rsidRPr="00DB20F6">
              <w:rPr>
                <w:color w:val="000000"/>
                <w:sz w:val="16"/>
              </w:rPr>
              <w:t>8,4</w:t>
            </w:r>
          </w:p>
        </w:tc>
      </w:tr>
      <w:tr w:rsidR="0039673B" w:rsidRPr="00DB20F6" w14:paraId="39342C49"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D5619E4" w14:textId="77777777" w:rsidR="0039673B" w:rsidRPr="00DB20F6" w:rsidRDefault="0039673B" w:rsidP="00C07BA6">
            <w:pPr>
              <w:rPr>
                <w:rFonts w:cstheme="minorHAnsi"/>
                <w:color w:val="000000"/>
                <w:sz w:val="16"/>
                <w:szCs w:val="16"/>
              </w:rPr>
            </w:pPr>
            <w:r w:rsidRPr="00DB20F6">
              <w:rPr>
                <w:color w:val="000000"/>
                <w:sz w:val="16"/>
              </w:rPr>
              <w:t>Estonie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B2C0968"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371C2DB" w14:textId="77777777" w:rsidR="0039673B" w:rsidRPr="00DB20F6" w:rsidRDefault="0039673B" w:rsidP="00C07BA6">
            <w:pPr>
              <w:jc w:val="right"/>
              <w:rPr>
                <w:rFonts w:cstheme="minorHAnsi"/>
                <w:color w:val="000000"/>
                <w:sz w:val="16"/>
                <w:szCs w:val="16"/>
              </w:rPr>
            </w:pPr>
            <w:r w:rsidRPr="00DB20F6">
              <w:rPr>
                <w:color w:val="000000"/>
                <w:sz w:val="16"/>
              </w:rPr>
              <w:t>842,1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E4D30DC" w14:textId="77777777" w:rsidR="0039673B" w:rsidRPr="00DB20F6" w:rsidRDefault="0039673B" w:rsidP="00C07BA6">
            <w:pPr>
              <w:jc w:val="right"/>
              <w:rPr>
                <w:rFonts w:cstheme="minorHAnsi"/>
                <w:color w:val="000000"/>
                <w:sz w:val="16"/>
                <w:szCs w:val="16"/>
              </w:rPr>
            </w:pPr>
            <w:r w:rsidRPr="00DB20F6">
              <w:rPr>
                <w:color w:val="000000"/>
                <w:sz w:val="16"/>
              </w:rPr>
              <w:t>2.064,6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25857F0" w14:textId="77777777" w:rsidR="0039673B" w:rsidRPr="00DB20F6" w:rsidRDefault="0039673B" w:rsidP="00C07BA6">
            <w:pPr>
              <w:jc w:val="right"/>
              <w:rPr>
                <w:rFonts w:cstheme="minorHAnsi"/>
                <w:color w:val="000000"/>
                <w:sz w:val="16"/>
                <w:szCs w:val="16"/>
              </w:rPr>
            </w:pPr>
            <w:r w:rsidRPr="00DB20F6">
              <w:rPr>
                <w:color w:val="000000"/>
                <w:sz w:val="16"/>
              </w:rPr>
              <w:t>145,2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232814E"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977590" w14:textId="77777777" w:rsidR="0039673B" w:rsidRPr="00DB20F6" w:rsidRDefault="0039673B" w:rsidP="00C07BA6">
            <w:pPr>
              <w:jc w:val="right"/>
              <w:rPr>
                <w:rFonts w:cstheme="minorHAnsi"/>
                <w:color w:val="000000"/>
                <w:sz w:val="16"/>
                <w:szCs w:val="16"/>
              </w:rPr>
            </w:pPr>
            <w:r w:rsidRPr="00DB20F6">
              <w:rPr>
                <w:color w:val="000000"/>
                <w:sz w:val="16"/>
              </w:rPr>
              <w:t>875,6</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85E231" w14:textId="77777777" w:rsidR="0039673B" w:rsidRPr="00DB20F6" w:rsidRDefault="0039673B" w:rsidP="00C07BA6">
            <w:pPr>
              <w:jc w:val="right"/>
              <w:rPr>
                <w:rFonts w:cstheme="minorHAnsi"/>
                <w:color w:val="000000"/>
                <w:sz w:val="16"/>
                <w:szCs w:val="16"/>
              </w:rPr>
            </w:pPr>
            <w:r w:rsidRPr="00DB20F6">
              <w:rPr>
                <w:color w:val="000000"/>
                <w:sz w:val="16"/>
              </w:rPr>
              <w:t>548,7</w:t>
            </w:r>
          </w:p>
        </w:tc>
        <w:tc>
          <w:tcPr>
            <w:tcW w:w="639" w:type="dxa"/>
            <w:tcBorders>
              <w:top w:val="nil"/>
              <w:left w:val="nil"/>
              <w:bottom w:val="single" w:sz="4" w:space="0" w:color="FFFFFF" w:themeColor="background1"/>
              <w:right w:val="nil"/>
            </w:tcBorders>
            <w:shd w:val="clear" w:color="auto" w:fill="auto"/>
            <w:noWrap/>
            <w:vAlign w:val="bottom"/>
            <w:hideMark/>
          </w:tcPr>
          <w:p w14:paraId="7A433336" w14:textId="77777777" w:rsidR="0039673B" w:rsidRPr="00DB20F6" w:rsidRDefault="0039673B" w:rsidP="00C07BA6">
            <w:pPr>
              <w:jc w:val="right"/>
              <w:rPr>
                <w:rFonts w:cstheme="minorHAnsi"/>
                <w:color w:val="000000"/>
                <w:sz w:val="16"/>
                <w:szCs w:val="16"/>
              </w:rPr>
            </w:pPr>
            <w:r w:rsidRPr="00DB20F6">
              <w:rPr>
                <w:color w:val="000000"/>
                <w:sz w:val="16"/>
              </w:rPr>
              <w:t>-37,3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F108E68" w14:textId="77777777" w:rsidR="0039673B" w:rsidRPr="00DB20F6" w:rsidRDefault="0039673B" w:rsidP="00C07BA6">
            <w:pPr>
              <w:jc w:val="right"/>
              <w:rPr>
                <w:rFonts w:cstheme="minorHAnsi"/>
                <w:color w:val="000000"/>
                <w:sz w:val="16"/>
                <w:szCs w:val="16"/>
              </w:rPr>
            </w:pPr>
            <w:r w:rsidRPr="00DB20F6">
              <w:rPr>
                <w:color w:val="000000"/>
                <w:sz w:val="16"/>
              </w:rPr>
              <w:t>26,6</w:t>
            </w:r>
          </w:p>
        </w:tc>
      </w:tr>
      <w:tr w:rsidR="0039673B" w:rsidRPr="00DB20F6" w14:paraId="786AC10B"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193B3C7" w14:textId="77777777" w:rsidR="0039673B" w:rsidRPr="00DB20F6" w:rsidRDefault="0039673B" w:rsidP="00C07BA6">
            <w:pPr>
              <w:rPr>
                <w:rFonts w:cstheme="minorHAnsi"/>
                <w:color w:val="000000"/>
                <w:sz w:val="16"/>
                <w:szCs w:val="16"/>
              </w:rPr>
            </w:pPr>
            <w:r w:rsidRPr="00DB20F6">
              <w:rPr>
                <w:color w:val="000000"/>
                <w:sz w:val="16"/>
              </w:rPr>
              <w:t>Chypre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A64A92B"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2BAA239" w14:textId="77777777" w:rsidR="0039673B" w:rsidRPr="00DB20F6" w:rsidRDefault="0039673B" w:rsidP="00C07BA6">
            <w:pPr>
              <w:jc w:val="right"/>
              <w:rPr>
                <w:rFonts w:cstheme="minorHAnsi"/>
                <w:color w:val="000000"/>
                <w:sz w:val="16"/>
                <w:szCs w:val="16"/>
              </w:rPr>
            </w:pPr>
            <w:r w:rsidRPr="00DB20F6">
              <w:rPr>
                <w:color w:val="000000"/>
                <w:sz w:val="16"/>
              </w:rPr>
              <w:t>3,6</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CEE491D"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C77A04C" w14:textId="77777777" w:rsidR="0039673B" w:rsidRPr="00DB20F6" w:rsidRDefault="0039673B" w:rsidP="00C07BA6">
            <w:pPr>
              <w:jc w:val="right"/>
              <w:rPr>
                <w:rFonts w:cstheme="minorHAnsi"/>
                <w:color w:val="000000"/>
                <w:sz w:val="16"/>
                <w:szCs w:val="16"/>
              </w:rPr>
            </w:pPr>
            <w:r w:rsidRPr="00DB20F6">
              <w:rPr>
                <w:color w:val="000000"/>
                <w:sz w:val="16"/>
              </w:rPr>
              <w:t>-98,4</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4D5762"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1E00ED" w14:textId="77777777" w:rsidR="0039673B" w:rsidRPr="00DB20F6" w:rsidRDefault="0039673B" w:rsidP="00C07BA6">
            <w:pPr>
              <w:jc w:val="right"/>
              <w:rPr>
                <w:rFonts w:cstheme="minorHAnsi"/>
                <w:color w:val="000000"/>
                <w:sz w:val="16"/>
                <w:szCs w:val="16"/>
              </w:rPr>
            </w:pPr>
            <w:r w:rsidRPr="00DB20F6">
              <w:rPr>
                <w:color w:val="000000"/>
                <w:sz w:val="16"/>
              </w:rPr>
              <w:t>876,7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165205" w14:textId="77777777" w:rsidR="0039673B" w:rsidRPr="00DB20F6" w:rsidRDefault="0039673B" w:rsidP="00C07BA6">
            <w:pPr>
              <w:jc w:val="right"/>
              <w:rPr>
                <w:rFonts w:cstheme="minorHAnsi"/>
                <w:color w:val="000000"/>
                <w:sz w:val="16"/>
                <w:szCs w:val="16"/>
              </w:rPr>
            </w:pPr>
            <w:r w:rsidRPr="00DB20F6">
              <w:rPr>
                <w:color w:val="000000"/>
                <w:sz w:val="16"/>
              </w:rPr>
              <w:t>2.193,5</w:t>
            </w:r>
          </w:p>
        </w:tc>
        <w:tc>
          <w:tcPr>
            <w:tcW w:w="639" w:type="dxa"/>
            <w:tcBorders>
              <w:top w:val="nil"/>
              <w:left w:val="nil"/>
              <w:bottom w:val="single" w:sz="4" w:space="0" w:color="FFFFFF" w:themeColor="background1"/>
              <w:right w:val="nil"/>
            </w:tcBorders>
            <w:shd w:val="clear" w:color="auto" w:fill="auto"/>
            <w:noWrap/>
            <w:vAlign w:val="bottom"/>
            <w:hideMark/>
          </w:tcPr>
          <w:p w14:paraId="3B55866C" w14:textId="77777777" w:rsidR="0039673B" w:rsidRPr="00DB20F6" w:rsidRDefault="0039673B" w:rsidP="00C07BA6">
            <w:pPr>
              <w:jc w:val="right"/>
              <w:rPr>
                <w:rFonts w:cstheme="minorHAnsi"/>
                <w:color w:val="000000"/>
                <w:sz w:val="16"/>
                <w:szCs w:val="16"/>
              </w:rPr>
            </w:pPr>
            <w:r w:rsidRPr="00DB20F6">
              <w:rPr>
                <w:color w:val="000000"/>
                <w:sz w:val="16"/>
              </w:rPr>
              <w:t>150,2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B12B9B2" w14:textId="77777777" w:rsidR="0039673B" w:rsidRPr="00DB20F6" w:rsidRDefault="0039673B" w:rsidP="00C07BA6">
            <w:pPr>
              <w:jc w:val="right"/>
              <w:rPr>
                <w:rFonts w:cstheme="minorHAnsi"/>
                <w:color w:val="000000"/>
                <w:sz w:val="16"/>
                <w:szCs w:val="16"/>
              </w:rPr>
            </w:pPr>
            <w:r w:rsidRPr="00DB20F6">
              <w:rPr>
                <w:color w:val="000000"/>
                <w:sz w:val="16"/>
              </w:rPr>
              <w:t>3.916.912,5</w:t>
            </w:r>
          </w:p>
        </w:tc>
      </w:tr>
      <w:tr w:rsidR="0039673B" w:rsidRPr="00DB20F6" w14:paraId="5AF7CB5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27CCBF7" w14:textId="77777777" w:rsidR="0039673B" w:rsidRPr="00DB20F6" w:rsidRDefault="0039673B" w:rsidP="00C07BA6">
            <w:pPr>
              <w:rPr>
                <w:rFonts w:cstheme="minorHAnsi"/>
                <w:color w:val="000000"/>
                <w:sz w:val="16"/>
                <w:szCs w:val="16"/>
              </w:rPr>
            </w:pPr>
            <w:r w:rsidRPr="00DB20F6">
              <w:rPr>
                <w:color w:val="000000"/>
                <w:sz w:val="16"/>
              </w:rPr>
              <w:t>Slovaquie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8A99E11"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E21DC20" w14:textId="77777777" w:rsidR="0039673B" w:rsidRPr="00DB20F6" w:rsidRDefault="0039673B" w:rsidP="00C07BA6">
            <w:pPr>
              <w:jc w:val="right"/>
              <w:rPr>
                <w:rFonts w:cstheme="minorHAnsi"/>
                <w:color w:val="000000"/>
                <w:sz w:val="16"/>
                <w:szCs w:val="16"/>
              </w:rPr>
            </w:pPr>
            <w:r w:rsidRPr="00DB20F6">
              <w:rPr>
                <w:color w:val="000000"/>
                <w:sz w:val="16"/>
              </w:rPr>
              <w:t>3.088,4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4068B79" w14:textId="77777777" w:rsidR="0039673B" w:rsidRPr="00DB20F6" w:rsidRDefault="0039673B" w:rsidP="00C07BA6">
            <w:pPr>
              <w:jc w:val="right"/>
              <w:rPr>
                <w:rFonts w:cstheme="minorHAnsi"/>
                <w:color w:val="000000"/>
                <w:sz w:val="16"/>
                <w:szCs w:val="16"/>
              </w:rPr>
            </w:pPr>
            <w:r w:rsidRPr="00DB20F6">
              <w:rPr>
                <w:color w:val="000000"/>
                <w:sz w:val="16"/>
              </w:rPr>
              <w:t>951,5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A215E3F" w14:textId="77777777" w:rsidR="0039673B" w:rsidRPr="00DB20F6" w:rsidRDefault="0039673B" w:rsidP="00C07BA6">
            <w:pPr>
              <w:jc w:val="right"/>
              <w:rPr>
                <w:rFonts w:cstheme="minorHAnsi"/>
                <w:color w:val="000000"/>
                <w:sz w:val="16"/>
                <w:szCs w:val="16"/>
              </w:rPr>
            </w:pPr>
            <w:r w:rsidRPr="00DB20F6">
              <w:rPr>
                <w:color w:val="000000"/>
                <w:sz w:val="16"/>
              </w:rPr>
              <w:t>-69,2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29870E"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2EFAB4" w14:textId="77777777" w:rsidR="0039673B" w:rsidRPr="00DB20F6" w:rsidRDefault="0039673B" w:rsidP="00C07BA6">
            <w:pPr>
              <w:jc w:val="right"/>
              <w:rPr>
                <w:rFonts w:cstheme="minorHAnsi"/>
                <w:color w:val="000000"/>
                <w:sz w:val="16"/>
                <w:szCs w:val="16"/>
              </w:rPr>
            </w:pPr>
            <w:r w:rsidRPr="00DB20F6">
              <w:rPr>
                <w:color w:val="000000"/>
                <w:sz w:val="16"/>
              </w:rPr>
              <w:t>857,7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54A455" w14:textId="77777777" w:rsidR="0039673B" w:rsidRPr="00DB20F6" w:rsidRDefault="0039673B" w:rsidP="00C07BA6">
            <w:pPr>
              <w:jc w:val="right"/>
              <w:rPr>
                <w:rFonts w:cstheme="minorHAnsi"/>
                <w:color w:val="000000"/>
                <w:sz w:val="16"/>
                <w:szCs w:val="16"/>
              </w:rPr>
            </w:pPr>
            <w:r w:rsidRPr="00DB20F6">
              <w:rPr>
                <w:color w:val="000000"/>
                <w:sz w:val="16"/>
              </w:rPr>
              <w:t>841,7</w:t>
            </w:r>
          </w:p>
        </w:tc>
        <w:tc>
          <w:tcPr>
            <w:tcW w:w="639" w:type="dxa"/>
            <w:tcBorders>
              <w:top w:val="nil"/>
              <w:left w:val="nil"/>
              <w:bottom w:val="single" w:sz="4" w:space="0" w:color="FFFFFF" w:themeColor="background1"/>
              <w:right w:val="nil"/>
            </w:tcBorders>
            <w:shd w:val="clear" w:color="auto" w:fill="auto"/>
            <w:noWrap/>
            <w:vAlign w:val="bottom"/>
            <w:hideMark/>
          </w:tcPr>
          <w:p w14:paraId="30311BA9" w14:textId="77777777" w:rsidR="0039673B" w:rsidRPr="00DB20F6" w:rsidRDefault="0039673B" w:rsidP="00C07BA6">
            <w:pPr>
              <w:jc w:val="right"/>
              <w:rPr>
                <w:rFonts w:cstheme="minorHAnsi"/>
                <w:color w:val="000000"/>
                <w:sz w:val="16"/>
                <w:szCs w:val="16"/>
              </w:rPr>
            </w:pPr>
            <w:r w:rsidRPr="00DB20F6">
              <w:rPr>
                <w:color w:val="000000"/>
                <w:sz w:val="16"/>
              </w:rPr>
              <w:t>-1,9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6FEE082" w14:textId="77777777" w:rsidR="0039673B" w:rsidRPr="00DB20F6" w:rsidRDefault="0039673B" w:rsidP="00C07BA6">
            <w:pPr>
              <w:jc w:val="right"/>
              <w:rPr>
                <w:rFonts w:cstheme="minorHAnsi"/>
                <w:color w:val="000000"/>
                <w:sz w:val="16"/>
                <w:szCs w:val="16"/>
              </w:rPr>
            </w:pPr>
            <w:r w:rsidRPr="00DB20F6">
              <w:rPr>
                <w:color w:val="000000"/>
                <w:sz w:val="16"/>
              </w:rPr>
              <w:t>88,5</w:t>
            </w:r>
          </w:p>
        </w:tc>
      </w:tr>
      <w:tr w:rsidR="0039673B" w:rsidRPr="00DB20F6" w14:paraId="6245B92A"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F3FD86F" w14:textId="77777777" w:rsidR="0039673B" w:rsidRPr="00DB20F6" w:rsidRDefault="0039673B" w:rsidP="00C07BA6">
            <w:pPr>
              <w:rPr>
                <w:rFonts w:cstheme="minorHAnsi"/>
                <w:color w:val="000000"/>
                <w:sz w:val="16"/>
                <w:szCs w:val="16"/>
              </w:rPr>
            </w:pPr>
            <w:r w:rsidRPr="00DB20F6">
              <w:rPr>
                <w:color w:val="000000"/>
                <w:sz w:val="16"/>
              </w:rPr>
              <w:t>Finlande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F5F1DBF" w14:textId="77777777" w:rsidR="0039673B" w:rsidRPr="00DB20F6" w:rsidRDefault="0039673B" w:rsidP="00C07BA6">
            <w:pPr>
              <w:jc w:val="right"/>
              <w:rPr>
                <w:rFonts w:cstheme="minorHAnsi"/>
                <w:color w:val="000000"/>
                <w:sz w:val="16"/>
                <w:szCs w:val="16"/>
              </w:rPr>
            </w:pPr>
            <w:r w:rsidRPr="00DB20F6">
              <w:rPr>
                <w:color w:val="000000"/>
                <w:sz w:val="16"/>
              </w:rPr>
              <w:t>0,4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F05194D" w14:textId="77777777" w:rsidR="0039673B" w:rsidRPr="00DB20F6" w:rsidRDefault="0039673B" w:rsidP="00C07BA6">
            <w:pPr>
              <w:jc w:val="right"/>
              <w:rPr>
                <w:rFonts w:cstheme="minorHAnsi"/>
                <w:color w:val="000000"/>
                <w:sz w:val="16"/>
                <w:szCs w:val="16"/>
              </w:rPr>
            </w:pPr>
            <w:r w:rsidRPr="00DB20F6">
              <w:rPr>
                <w:color w:val="000000"/>
                <w:sz w:val="16"/>
              </w:rPr>
              <w:t>5.002,2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A894FD" w14:textId="77777777" w:rsidR="0039673B" w:rsidRPr="00DB20F6" w:rsidRDefault="0039673B" w:rsidP="00C07BA6">
            <w:pPr>
              <w:jc w:val="right"/>
              <w:rPr>
                <w:rFonts w:cstheme="minorHAnsi"/>
                <w:color w:val="000000"/>
                <w:sz w:val="16"/>
                <w:szCs w:val="16"/>
              </w:rPr>
            </w:pPr>
            <w:r w:rsidRPr="00DB20F6">
              <w:rPr>
                <w:color w:val="000000"/>
                <w:sz w:val="16"/>
              </w:rPr>
              <w:t>5.076,2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B6864AF" w14:textId="77777777" w:rsidR="0039673B" w:rsidRPr="00DB20F6" w:rsidRDefault="0039673B" w:rsidP="00C07BA6">
            <w:pPr>
              <w:jc w:val="right"/>
              <w:rPr>
                <w:rFonts w:cstheme="minorHAnsi"/>
                <w:color w:val="000000"/>
                <w:sz w:val="16"/>
                <w:szCs w:val="16"/>
              </w:rPr>
            </w:pPr>
            <w:r w:rsidRPr="00DB20F6">
              <w:rPr>
                <w:color w:val="000000"/>
                <w:sz w:val="16"/>
              </w:rPr>
              <w:t>1,5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EB5EF3"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A65943" w14:textId="77777777" w:rsidR="0039673B" w:rsidRPr="00DB20F6" w:rsidRDefault="0039673B" w:rsidP="00C07BA6">
            <w:pPr>
              <w:jc w:val="right"/>
              <w:rPr>
                <w:rFonts w:cstheme="minorHAnsi"/>
                <w:color w:val="000000"/>
                <w:sz w:val="16"/>
                <w:szCs w:val="16"/>
              </w:rPr>
            </w:pPr>
            <w:r w:rsidRPr="00DB20F6">
              <w:rPr>
                <w:color w:val="000000"/>
                <w:sz w:val="16"/>
              </w:rPr>
              <w:t>853,3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BB0FAC" w14:textId="77777777" w:rsidR="0039673B" w:rsidRPr="00DB20F6" w:rsidRDefault="0039673B" w:rsidP="00C07BA6">
            <w:pPr>
              <w:jc w:val="right"/>
              <w:rPr>
                <w:rFonts w:cstheme="minorHAnsi"/>
                <w:color w:val="000000"/>
                <w:sz w:val="16"/>
                <w:szCs w:val="16"/>
              </w:rPr>
            </w:pPr>
            <w:r w:rsidRPr="00DB20F6">
              <w:rPr>
                <w:color w:val="000000"/>
                <w:sz w:val="16"/>
              </w:rPr>
              <w:t>773,8</w:t>
            </w:r>
          </w:p>
        </w:tc>
        <w:tc>
          <w:tcPr>
            <w:tcW w:w="639" w:type="dxa"/>
            <w:tcBorders>
              <w:top w:val="nil"/>
              <w:left w:val="nil"/>
              <w:bottom w:val="single" w:sz="4" w:space="0" w:color="FFFFFF" w:themeColor="background1"/>
              <w:right w:val="nil"/>
            </w:tcBorders>
            <w:shd w:val="clear" w:color="auto" w:fill="auto"/>
            <w:noWrap/>
            <w:vAlign w:val="bottom"/>
            <w:hideMark/>
          </w:tcPr>
          <w:p w14:paraId="5154F307" w14:textId="77777777" w:rsidR="0039673B" w:rsidRPr="00DB20F6" w:rsidRDefault="0039673B" w:rsidP="00C07BA6">
            <w:pPr>
              <w:jc w:val="right"/>
              <w:rPr>
                <w:rFonts w:cstheme="minorHAnsi"/>
                <w:color w:val="000000"/>
                <w:sz w:val="16"/>
                <w:szCs w:val="16"/>
              </w:rPr>
            </w:pPr>
            <w:r w:rsidRPr="00DB20F6">
              <w:rPr>
                <w:color w:val="000000"/>
                <w:sz w:val="16"/>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2FC4090" w14:textId="77777777" w:rsidR="0039673B" w:rsidRPr="00DB20F6" w:rsidRDefault="0039673B" w:rsidP="00C07BA6">
            <w:pPr>
              <w:jc w:val="right"/>
              <w:rPr>
                <w:rFonts w:cstheme="minorHAnsi"/>
                <w:color w:val="000000"/>
                <w:sz w:val="16"/>
                <w:szCs w:val="16"/>
              </w:rPr>
            </w:pPr>
            <w:r w:rsidRPr="00DB20F6">
              <w:rPr>
                <w:color w:val="000000"/>
                <w:sz w:val="16"/>
              </w:rPr>
              <w:t>15,2</w:t>
            </w:r>
          </w:p>
        </w:tc>
      </w:tr>
      <w:tr w:rsidR="0039673B" w:rsidRPr="00DB20F6" w14:paraId="3F1452B4"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7DD6CD5" w14:textId="77777777" w:rsidR="0039673B" w:rsidRPr="00DB20F6" w:rsidRDefault="0039673B" w:rsidP="00C07BA6">
            <w:pPr>
              <w:rPr>
                <w:rFonts w:cstheme="minorHAnsi"/>
                <w:color w:val="000000"/>
                <w:sz w:val="16"/>
                <w:szCs w:val="16"/>
              </w:rPr>
            </w:pPr>
            <w:r w:rsidRPr="00DB20F6">
              <w:rPr>
                <w:color w:val="000000"/>
                <w:sz w:val="16"/>
              </w:rPr>
              <w:t>Malte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4A4E26B"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48F282A" w14:textId="77777777" w:rsidR="0039673B" w:rsidRPr="00DB20F6" w:rsidRDefault="0039673B" w:rsidP="00C07BA6">
            <w:pPr>
              <w:jc w:val="right"/>
              <w:rPr>
                <w:rFonts w:cstheme="minorHAnsi"/>
                <w:color w:val="000000"/>
                <w:sz w:val="16"/>
                <w:szCs w:val="16"/>
              </w:rPr>
            </w:pPr>
            <w:r w:rsidRPr="00DB20F6">
              <w:rPr>
                <w:color w:val="000000"/>
                <w:sz w:val="16"/>
              </w:rPr>
              <w:t>5,5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304D8DB" w14:textId="77777777" w:rsidR="0039673B" w:rsidRPr="00DB20F6" w:rsidRDefault="0039673B" w:rsidP="00C07BA6">
            <w:pPr>
              <w:jc w:val="right"/>
              <w:rPr>
                <w:rFonts w:cstheme="minorHAnsi"/>
                <w:color w:val="000000"/>
                <w:sz w:val="16"/>
                <w:szCs w:val="16"/>
              </w:rPr>
            </w:pPr>
            <w:r w:rsidRPr="00DB20F6">
              <w:rPr>
                <w:color w:val="000000"/>
                <w:sz w:val="16"/>
              </w:rPr>
              <w:t>2,1</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C001E4D" w14:textId="77777777" w:rsidR="0039673B" w:rsidRPr="00DB20F6" w:rsidRDefault="0039673B" w:rsidP="00C07BA6">
            <w:pPr>
              <w:jc w:val="right"/>
              <w:rPr>
                <w:rFonts w:cstheme="minorHAnsi"/>
                <w:color w:val="000000"/>
                <w:sz w:val="16"/>
                <w:szCs w:val="16"/>
              </w:rPr>
            </w:pPr>
            <w:r w:rsidRPr="00DB20F6">
              <w:rPr>
                <w:color w:val="000000"/>
                <w:sz w:val="16"/>
              </w:rPr>
              <w:t>-62,0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B975A86"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788565" w14:textId="77777777" w:rsidR="0039673B" w:rsidRPr="00DB20F6" w:rsidRDefault="0039673B" w:rsidP="00C07BA6">
            <w:pPr>
              <w:jc w:val="right"/>
              <w:rPr>
                <w:rFonts w:cstheme="minorHAnsi"/>
                <w:color w:val="000000"/>
                <w:sz w:val="16"/>
                <w:szCs w:val="16"/>
              </w:rPr>
            </w:pPr>
            <w:r w:rsidRPr="00DB20F6">
              <w:rPr>
                <w:color w:val="000000"/>
                <w:sz w:val="16"/>
              </w:rPr>
              <w:t>566,5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A24ECE" w14:textId="77777777" w:rsidR="0039673B" w:rsidRPr="00DB20F6" w:rsidRDefault="0039673B" w:rsidP="00C07BA6">
            <w:pPr>
              <w:jc w:val="right"/>
              <w:rPr>
                <w:rFonts w:cstheme="minorHAnsi"/>
                <w:color w:val="000000"/>
                <w:sz w:val="16"/>
                <w:szCs w:val="16"/>
              </w:rPr>
            </w:pPr>
            <w:r w:rsidRPr="00DB20F6">
              <w:rPr>
                <w:color w:val="000000"/>
                <w:sz w:val="16"/>
              </w:rPr>
              <w:t>361,5</w:t>
            </w:r>
          </w:p>
        </w:tc>
        <w:tc>
          <w:tcPr>
            <w:tcW w:w="639" w:type="dxa"/>
            <w:tcBorders>
              <w:top w:val="nil"/>
              <w:left w:val="nil"/>
              <w:bottom w:val="single" w:sz="4" w:space="0" w:color="FFFFFF" w:themeColor="background1"/>
              <w:right w:val="nil"/>
            </w:tcBorders>
            <w:shd w:val="clear" w:color="auto" w:fill="auto"/>
            <w:noWrap/>
            <w:vAlign w:val="bottom"/>
            <w:hideMark/>
          </w:tcPr>
          <w:p w14:paraId="37B609E1" w14:textId="77777777" w:rsidR="0039673B" w:rsidRPr="00DB20F6" w:rsidRDefault="0039673B" w:rsidP="00C07BA6">
            <w:pPr>
              <w:jc w:val="right"/>
              <w:rPr>
                <w:rFonts w:cstheme="minorHAnsi"/>
                <w:color w:val="000000"/>
                <w:sz w:val="16"/>
                <w:szCs w:val="16"/>
              </w:rPr>
            </w:pPr>
            <w:r w:rsidRPr="00DB20F6">
              <w:rPr>
                <w:color w:val="000000"/>
                <w:sz w:val="16"/>
              </w:rPr>
              <w:t>-36,2</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A5DCCB" w14:textId="77777777" w:rsidR="0039673B" w:rsidRPr="00DB20F6" w:rsidRDefault="0039673B" w:rsidP="00C07BA6">
            <w:pPr>
              <w:jc w:val="right"/>
              <w:rPr>
                <w:rFonts w:cstheme="minorHAnsi"/>
                <w:color w:val="000000"/>
                <w:sz w:val="16"/>
                <w:szCs w:val="16"/>
              </w:rPr>
            </w:pPr>
            <w:r w:rsidRPr="00DB20F6">
              <w:rPr>
                <w:color w:val="000000"/>
                <w:sz w:val="16"/>
              </w:rPr>
              <w:t>17.363,1</w:t>
            </w:r>
          </w:p>
        </w:tc>
      </w:tr>
      <w:tr w:rsidR="0039673B" w:rsidRPr="00DB20F6" w14:paraId="69E8666A"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9B5A001" w14:textId="77777777" w:rsidR="0039673B" w:rsidRPr="00DB20F6" w:rsidRDefault="0039673B" w:rsidP="00C07BA6">
            <w:pPr>
              <w:rPr>
                <w:rFonts w:cstheme="minorHAnsi"/>
                <w:color w:val="000000"/>
                <w:sz w:val="16"/>
                <w:szCs w:val="16"/>
              </w:rPr>
            </w:pPr>
            <w:r w:rsidRPr="00DB20F6">
              <w:rPr>
                <w:color w:val="000000"/>
                <w:sz w:val="16"/>
              </w:rPr>
              <w:t>Slovénie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7C80D53"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0B3DD26" w14:textId="77777777" w:rsidR="0039673B" w:rsidRPr="00DB20F6" w:rsidRDefault="0039673B" w:rsidP="00C07BA6">
            <w:pPr>
              <w:jc w:val="right"/>
              <w:rPr>
                <w:rFonts w:cstheme="minorHAnsi"/>
                <w:color w:val="000000"/>
                <w:sz w:val="16"/>
                <w:szCs w:val="16"/>
              </w:rPr>
            </w:pPr>
            <w:r w:rsidRPr="00DB20F6">
              <w:rPr>
                <w:color w:val="000000"/>
                <w:sz w:val="16"/>
              </w:rPr>
              <w:t>498,3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37FD41" w14:textId="77777777" w:rsidR="0039673B" w:rsidRPr="00DB20F6" w:rsidRDefault="0039673B" w:rsidP="00C07BA6">
            <w:pPr>
              <w:jc w:val="right"/>
              <w:rPr>
                <w:rFonts w:cstheme="minorHAnsi"/>
                <w:color w:val="000000"/>
                <w:sz w:val="16"/>
                <w:szCs w:val="16"/>
              </w:rPr>
            </w:pPr>
            <w:r w:rsidRPr="00DB20F6">
              <w:rPr>
                <w:color w:val="000000"/>
                <w:sz w:val="16"/>
              </w:rPr>
              <w:t>640,8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1FB8998" w14:textId="77777777" w:rsidR="0039673B" w:rsidRPr="00DB20F6" w:rsidRDefault="0039673B" w:rsidP="00C07BA6">
            <w:pPr>
              <w:jc w:val="right"/>
              <w:rPr>
                <w:rFonts w:cstheme="minorHAnsi"/>
                <w:color w:val="000000"/>
                <w:sz w:val="16"/>
                <w:szCs w:val="16"/>
              </w:rPr>
            </w:pPr>
            <w:r w:rsidRPr="00DB20F6">
              <w:rPr>
                <w:color w:val="000000"/>
                <w:sz w:val="16"/>
              </w:rPr>
              <w:t>28,6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DA640A"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3C829E" w14:textId="77777777" w:rsidR="0039673B" w:rsidRPr="00DB20F6" w:rsidRDefault="0039673B" w:rsidP="00C07BA6">
            <w:pPr>
              <w:jc w:val="right"/>
              <w:rPr>
                <w:rFonts w:cstheme="minorHAnsi"/>
                <w:color w:val="000000"/>
                <w:sz w:val="16"/>
                <w:szCs w:val="16"/>
              </w:rPr>
            </w:pPr>
            <w:r w:rsidRPr="00DB20F6">
              <w:rPr>
                <w:color w:val="000000"/>
                <w:sz w:val="16"/>
              </w:rPr>
              <w:t>502,3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6B969B" w14:textId="77777777" w:rsidR="0039673B" w:rsidRPr="00DB20F6" w:rsidRDefault="0039673B" w:rsidP="00C07BA6">
            <w:pPr>
              <w:jc w:val="right"/>
              <w:rPr>
                <w:rFonts w:cstheme="minorHAnsi"/>
                <w:color w:val="000000"/>
                <w:sz w:val="16"/>
                <w:szCs w:val="16"/>
              </w:rPr>
            </w:pPr>
            <w:r w:rsidRPr="00DB20F6">
              <w:rPr>
                <w:color w:val="000000"/>
                <w:sz w:val="16"/>
              </w:rPr>
              <w:t>351,8</w:t>
            </w:r>
          </w:p>
        </w:tc>
        <w:tc>
          <w:tcPr>
            <w:tcW w:w="639" w:type="dxa"/>
            <w:tcBorders>
              <w:top w:val="nil"/>
              <w:left w:val="nil"/>
              <w:bottom w:val="single" w:sz="4" w:space="0" w:color="FFFFFF" w:themeColor="background1"/>
              <w:right w:val="nil"/>
            </w:tcBorders>
            <w:shd w:val="clear" w:color="auto" w:fill="auto"/>
            <w:noWrap/>
            <w:vAlign w:val="bottom"/>
            <w:hideMark/>
          </w:tcPr>
          <w:p w14:paraId="207D7C6C" w14:textId="77777777" w:rsidR="0039673B" w:rsidRPr="00DB20F6" w:rsidRDefault="0039673B" w:rsidP="00C07BA6">
            <w:pPr>
              <w:jc w:val="right"/>
              <w:rPr>
                <w:rFonts w:cstheme="minorHAnsi"/>
                <w:color w:val="000000"/>
                <w:sz w:val="16"/>
                <w:szCs w:val="16"/>
              </w:rPr>
            </w:pPr>
            <w:r w:rsidRPr="00DB20F6">
              <w:rPr>
                <w:color w:val="000000"/>
                <w:sz w:val="16"/>
              </w:rPr>
              <w:t>-30,0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91AF2FC" w14:textId="77777777" w:rsidR="0039673B" w:rsidRPr="00DB20F6" w:rsidRDefault="0039673B" w:rsidP="00C07BA6">
            <w:pPr>
              <w:jc w:val="right"/>
              <w:rPr>
                <w:rFonts w:cstheme="minorHAnsi"/>
                <w:color w:val="000000"/>
                <w:sz w:val="16"/>
                <w:szCs w:val="16"/>
              </w:rPr>
            </w:pPr>
            <w:r w:rsidRPr="00DB20F6">
              <w:rPr>
                <w:color w:val="000000"/>
                <w:sz w:val="16"/>
              </w:rPr>
              <w:t>54,9</w:t>
            </w:r>
          </w:p>
        </w:tc>
      </w:tr>
      <w:tr w:rsidR="0039673B" w:rsidRPr="00DB20F6" w14:paraId="7FB0CA0F"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3ADEB8B" w14:textId="77777777" w:rsidR="0039673B" w:rsidRPr="00DB20F6" w:rsidRDefault="0039673B" w:rsidP="00C07BA6">
            <w:pPr>
              <w:rPr>
                <w:rFonts w:cstheme="minorHAnsi"/>
                <w:color w:val="000000"/>
                <w:sz w:val="16"/>
                <w:szCs w:val="16"/>
              </w:rPr>
            </w:pPr>
            <w:r w:rsidRPr="00DB20F6">
              <w:rPr>
                <w:color w:val="000000"/>
                <w:sz w:val="16"/>
              </w:rPr>
              <w:t>Croatie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231F0B7"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EC5F52" w14:textId="77777777" w:rsidR="0039673B" w:rsidRPr="00DB20F6" w:rsidRDefault="0039673B" w:rsidP="00C07BA6">
            <w:pPr>
              <w:jc w:val="right"/>
              <w:rPr>
                <w:rFonts w:cstheme="minorHAnsi"/>
                <w:color w:val="000000"/>
                <w:sz w:val="16"/>
                <w:szCs w:val="16"/>
              </w:rPr>
            </w:pPr>
            <w:r w:rsidRPr="00DB20F6">
              <w:rPr>
                <w:color w:val="000000"/>
                <w:sz w:val="16"/>
              </w:rPr>
              <w:t>728,2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711812A" w14:textId="77777777" w:rsidR="0039673B" w:rsidRPr="00DB20F6" w:rsidRDefault="0039673B" w:rsidP="00C07BA6">
            <w:pPr>
              <w:jc w:val="right"/>
              <w:rPr>
                <w:rFonts w:cstheme="minorHAnsi"/>
                <w:color w:val="000000"/>
                <w:sz w:val="16"/>
                <w:szCs w:val="16"/>
              </w:rPr>
            </w:pPr>
            <w:r w:rsidRPr="00DB20F6">
              <w:rPr>
                <w:color w:val="000000"/>
                <w:sz w:val="16"/>
              </w:rPr>
              <w:t>950,3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59500D2" w14:textId="77777777" w:rsidR="0039673B" w:rsidRPr="00DB20F6" w:rsidRDefault="0039673B" w:rsidP="00C07BA6">
            <w:pPr>
              <w:jc w:val="right"/>
              <w:rPr>
                <w:rFonts w:cstheme="minorHAnsi"/>
                <w:color w:val="000000"/>
                <w:sz w:val="16"/>
                <w:szCs w:val="16"/>
              </w:rPr>
            </w:pPr>
            <w:r w:rsidRPr="00DB20F6">
              <w:rPr>
                <w:color w:val="000000"/>
                <w:sz w:val="16"/>
              </w:rPr>
              <w:t>30,5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4D6CF4"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599F5C" w14:textId="77777777" w:rsidR="0039673B" w:rsidRPr="00DB20F6" w:rsidRDefault="0039673B" w:rsidP="00C07BA6">
            <w:pPr>
              <w:jc w:val="right"/>
              <w:rPr>
                <w:rFonts w:cstheme="minorHAnsi"/>
                <w:color w:val="000000"/>
                <w:sz w:val="16"/>
                <w:szCs w:val="16"/>
              </w:rPr>
            </w:pPr>
            <w:r w:rsidRPr="00DB20F6">
              <w:rPr>
                <w:color w:val="000000"/>
                <w:sz w:val="16"/>
              </w:rPr>
              <w:t>429,1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437AA4" w14:textId="77777777" w:rsidR="0039673B" w:rsidRPr="00DB20F6" w:rsidRDefault="0039673B" w:rsidP="00C07BA6">
            <w:pPr>
              <w:jc w:val="right"/>
              <w:rPr>
                <w:rFonts w:cstheme="minorHAnsi"/>
                <w:color w:val="000000"/>
                <w:sz w:val="16"/>
                <w:szCs w:val="16"/>
              </w:rPr>
            </w:pPr>
            <w:r w:rsidRPr="00DB20F6">
              <w:rPr>
                <w:color w:val="000000"/>
                <w:sz w:val="16"/>
              </w:rPr>
              <w:t>469,0</w:t>
            </w:r>
          </w:p>
        </w:tc>
        <w:tc>
          <w:tcPr>
            <w:tcW w:w="639" w:type="dxa"/>
            <w:tcBorders>
              <w:top w:val="nil"/>
              <w:left w:val="nil"/>
              <w:bottom w:val="single" w:sz="4" w:space="0" w:color="FFFFFF" w:themeColor="background1"/>
              <w:right w:val="nil"/>
            </w:tcBorders>
            <w:shd w:val="clear" w:color="auto" w:fill="auto"/>
            <w:noWrap/>
            <w:vAlign w:val="bottom"/>
            <w:hideMark/>
          </w:tcPr>
          <w:p w14:paraId="39C4C6D6" w14:textId="77777777" w:rsidR="0039673B" w:rsidRPr="00DB20F6" w:rsidRDefault="0039673B" w:rsidP="00C07BA6">
            <w:pPr>
              <w:jc w:val="right"/>
              <w:rPr>
                <w:rFonts w:cstheme="minorHAnsi"/>
                <w:color w:val="000000"/>
                <w:sz w:val="16"/>
                <w:szCs w:val="16"/>
              </w:rPr>
            </w:pPr>
            <w:r w:rsidRPr="00DB20F6">
              <w:rPr>
                <w:color w:val="000000"/>
                <w:sz w:val="16"/>
              </w:rPr>
              <w:t>9,3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D0CD0BD" w14:textId="77777777" w:rsidR="0039673B" w:rsidRPr="00DB20F6" w:rsidRDefault="0039673B" w:rsidP="00C07BA6">
            <w:pPr>
              <w:jc w:val="right"/>
              <w:rPr>
                <w:rFonts w:cstheme="minorHAnsi"/>
                <w:color w:val="000000"/>
                <w:sz w:val="16"/>
                <w:szCs w:val="16"/>
              </w:rPr>
            </w:pPr>
            <w:r w:rsidRPr="00DB20F6">
              <w:rPr>
                <w:color w:val="000000"/>
                <w:sz w:val="16"/>
              </w:rPr>
              <w:t>49,4</w:t>
            </w:r>
          </w:p>
        </w:tc>
      </w:tr>
      <w:tr w:rsidR="0039673B" w:rsidRPr="00DB20F6" w14:paraId="520586A4"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C4494C4" w14:textId="77777777" w:rsidR="0039673B" w:rsidRPr="00DB20F6" w:rsidRDefault="0039673B" w:rsidP="00C07BA6">
            <w:pPr>
              <w:rPr>
                <w:rFonts w:cstheme="minorHAnsi"/>
                <w:color w:val="000000"/>
                <w:sz w:val="16"/>
                <w:szCs w:val="16"/>
              </w:rPr>
            </w:pPr>
            <w:r w:rsidRPr="00DB20F6">
              <w:rPr>
                <w:color w:val="000000"/>
                <w:sz w:val="16"/>
              </w:rPr>
              <w:t>Bulgarie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E0BEBA9"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A5C7EAD" w14:textId="77777777" w:rsidR="0039673B" w:rsidRPr="00DB20F6" w:rsidRDefault="0039673B" w:rsidP="00C07BA6">
            <w:pPr>
              <w:jc w:val="right"/>
              <w:rPr>
                <w:rFonts w:cstheme="minorHAnsi"/>
                <w:color w:val="000000"/>
                <w:sz w:val="16"/>
                <w:szCs w:val="16"/>
              </w:rPr>
            </w:pPr>
            <w:r w:rsidRPr="00DB20F6">
              <w:rPr>
                <w:color w:val="000000"/>
                <w:sz w:val="16"/>
              </w:rPr>
              <w:t>2.493,4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97462E0" w14:textId="77777777" w:rsidR="0039673B" w:rsidRPr="00DB20F6" w:rsidRDefault="0039673B" w:rsidP="00C07BA6">
            <w:pPr>
              <w:jc w:val="right"/>
              <w:rPr>
                <w:rFonts w:cstheme="minorHAnsi"/>
                <w:color w:val="000000"/>
                <w:sz w:val="16"/>
                <w:szCs w:val="16"/>
              </w:rPr>
            </w:pPr>
            <w:r w:rsidRPr="00DB20F6">
              <w:rPr>
                <w:color w:val="000000"/>
                <w:sz w:val="16"/>
              </w:rPr>
              <w:t>2.981,2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10215C6" w14:textId="77777777" w:rsidR="0039673B" w:rsidRPr="00DB20F6" w:rsidRDefault="0039673B" w:rsidP="00C07BA6">
            <w:pPr>
              <w:jc w:val="right"/>
              <w:rPr>
                <w:rFonts w:cstheme="minorHAnsi"/>
                <w:color w:val="000000"/>
                <w:sz w:val="16"/>
                <w:szCs w:val="16"/>
              </w:rPr>
            </w:pPr>
            <w:r w:rsidRPr="00DB20F6">
              <w:rPr>
                <w:color w:val="000000"/>
                <w:sz w:val="16"/>
              </w:rPr>
              <w:t>19,6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0A2412"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16A9E4" w14:textId="77777777" w:rsidR="0039673B" w:rsidRPr="00DB20F6" w:rsidRDefault="0039673B" w:rsidP="00C07BA6">
            <w:pPr>
              <w:jc w:val="right"/>
              <w:rPr>
                <w:rFonts w:cstheme="minorHAnsi"/>
                <w:color w:val="000000"/>
                <w:sz w:val="16"/>
                <w:szCs w:val="16"/>
              </w:rPr>
            </w:pPr>
            <w:r w:rsidRPr="00DB20F6">
              <w:rPr>
                <w:color w:val="000000"/>
                <w:sz w:val="16"/>
              </w:rPr>
              <w:t>399,2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8808A7D" w14:textId="77777777" w:rsidR="0039673B" w:rsidRPr="00DB20F6" w:rsidRDefault="0039673B" w:rsidP="00C07BA6">
            <w:pPr>
              <w:jc w:val="right"/>
              <w:rPr>
                <w:rFonts w:cstheme="minorHAnsi"/>
                <w:color w:val="000000"/>
                <w:sz w:val="16"/>
                <w:szCs w:val="16"/>
              </w:rPr>
            </w:pPr>
            <w:r w:rsidRPr="00DB20F6">
              <w:rPr>
                <w:color w:val="000000"/>
                <w:sz w:val="16"/>
              </w:rPr>
              <w:t>2.054,6</w:t>
            </w:r>
          </w:p>
        </w:tc>
        <w:tc>
          <w:tcPr>
            <w:tcW w:w="639" w:type="dxa"/>
            <w:tcBorders>
              <w:top w:val="nil"/>
              <w:left w:val="nil"/>
              <w:bottom w:val="single" w:sz="4" w:space="0" w:color="FFFFFF" w:themeColor="background1"/>
              <w:right w:val="nil"/>
            </w:tcBorders>
            <w:shd w:val="clear" w:color="auto" w:fill="auto"/>
            <w:noWrap/>
            <w:vAlign w:val="bottom"/>
            <w:hideMark/>
          </w:tcPr>
          <w:p w14:paraId="164D9E3A" w14:textId="77777777" w:rsidR="0039673B" w:rsidRPr="00DB20F6" w:rsidRDefault="0039673B" w:rsidP="00C07BA6">
            <w:pPr>
              <w:jc w:val="right"/>
              <w:rPr>
                <w:rFonts w:cstheme="minorHAnsi"/>
                <w:color w:val="000000"/>
                <w:sz w:val="16"/>
                <w:szCs w:val="16"/>
              </w:rPr>
            </w:pPr>
            <w:r w:rsidRPr="00DB20F6">
              <w:rPr>
                <w:color w:val="000000"/>
                <w:sz w:val="16"/>
              </w:rPr>
              <w:t>414,7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BBCF1E" w14:textId="77777777" w:rsidR="0039673B" w:rsidRPr="00DB20F6" w:rsidRDefault="0039673B" w:rsidP="00C07BA6">
            <w:pPr>
              <w:jc w:val="right"/>
              <w:rPr>
                <w:rFonts w:cstheme="minorHAnsi"/>
                <w:color w:val="000000"/>
                <w:sz w:val="16"/>
                <w:szCs w:val="16"/>
              </w:rPr>
            </w:pPr>
            <w:r w:rsidRPr="00DB20F6">
              <w:rPr>
                <w:color w:val="000000"/>
                <w:sz w:val="16"/>
              </w:rPr>
              <w:t>68,9</w:t>
            </w:r>
          </w:p>
        </w:tc>
      </w:tr>
      <w:tr w:rsidR="0039673B" w:rsidRPr="00DB20F6" w14:paraId="328F6340"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90B2C20" w14:textId="77777777" w:rsidR="0039673B" w:rsidRPr="00DB20F6" w:rsidRDefault="0039673B" w:rsidP="00C07BA6">
            <w:pPr>
              <w:rPr>
                <w:rFonts w:cstheme="minorHAnsi"/>
                <w:color w:val="000000"/>
                <w:sz w:val="16"/>
                <w:szCs w:val="16"/>
              </w:rPr>
            </w:pPr>
            <w:r w:rsidRPr="00DB20F6">
              <w:rPr>
                <w:color w:val="000000"/>
                <w:sz w:val="16"/>
              </w:rPr>
              <w:lastRenderedPageBreak/>
              <w:t>Lettonie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CA8ACB3"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DF65080" w14:textId="77777777" w:rsidR="0039673B" w:rsidRPr="00DB20F6" w:rsidRDefault="0039673B" w:rsidP="00C07BA6">
            <w:pPr>
              <w:jc w:val="right"/>
              <w:rPr>
                <w:rFonts w:cstheme="minorHAnsi"/>
                <w:color w:val="000000"/>
                <w:sz w:val="16"/>
                <w:szCs w:val="16"/>
              </w:rPr>
            </w:pPr>
            <w:r w:rsidRPr="00DB20F6">
              <w:rPr>
                <w:color w:val="000000"/>
                <w:sz w:val="16"/>
              </w:rPr>
              <w:t>189,2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D7B39E9" w14:textId="77777777" w:rsidR="0039673B" w:rsidRPr="00DB20F6" w:rsidRDefault="0039673B" w:rsidP="00C07BA6">
            <w:pPr>
              <w:jc w:val="right"/>
              <w:rPr>
                <w:rFonts w:cstheme="minorHAnsi"/>
                <w:color w:val="000000"/>
                <w:sz w:val="16"/>
                <w:szCs w:val="16"/>
              </w:rPr>
            </w:pPr>
            <w:r w:rsidRPr="00DB20F6">
              <w:rPr>
                <w:color w:val="000000"/>
                <w:sz w:val="16"/>
              </w:rPr>
              <w:t>387,6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B69596B" w14:textId="77777777" w:rsidR="0039673B" w:rsidRPr="00DB20F6" w:rsidRDefault="0039673B" w:rsidP="00C07BA6">
            <w:pPr>
              <w:jc w:val="right"/>
              <w:rPr>
                <w:rFonts w:cstheme="minorHAnsi"/>
                <w:color w:val="000000"/>
                <w:sz w:val="16"/>
                <w:szCs w:val="16"/>
              </w:rPr>
            </w:pPr>
            <w:r w:rsidRPr="00DB20F6">
              <w:rPr>
                <w:color w:val="000000"/>
                <w:sz w:val="16"/>
              </w:rPr>
              <w:t>104,9</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981312"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207207" w14:textId="77777777" w:rsidR="0039673B" w:rsidRPr="00DB20F6" w:rsidRDefault="0039673B" w:rsidP="00C07BA6">
            <w:pPr>
              <w:jc w:val="right"/>
              <w:rPr>
                <w:rFonts w:cstheme="minorHAnsi"/>
                <w:color w:val="000000"/>
                <w:sz w:val="16"/>
                <w:szCs w:val="16"/>
              </w:rPr>
            </w:pPr>
            <w:r w:rsidRPr="00DB20F6">
              <w:rPr>
                <w:color w:val="000000"/>
                <w:sz w:val="16"/>
              </w:rPr>
              <w:t>205,1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C3643D" w14:textId="77777777" w:rsidR="0039673B" w:rsidRPr="00DB20F6" w:rsidRDefault="0039673B" w:rsidP="00C07BA6">
            <w:pPr>
              <w:jc w:val="right"/>
              <w:rPr>
                <w:rFonts w:cstheme="minorHAnsi"/>
                <w:color w:val="000000"/>
                <w:sz w:val="16"/>
                <w:szCs w:val="16"/>
              </w:rPr>
            </w:pPr>
            <w:r w:rsidRPr="00DB20F6">
              <w:rPr>
                <w:color w:val="000000"/>
                <w:sz w:val="16"/>
              </w:rPr>
              <w:t>136,3</w:t>
            </w:r>
          </w:p>
        </w:tc>
        <w:tc>
          <w:tcPr>
            <w:tcW w:w="639" w:type="dxa"/>
            <w:tcBorders>
              <w:top w:val="nil"/>
              <w:left w:val="nil"/>
              <w:bottom w:val="single" w:sz="4" w:space="0" w:color="FFFFFF" w:themeColor="background1"/>
              <w:right w:val="nil"/>
            </w:tcBorders>
            <w:shd w:val="clear" w:color="auto" w:fill="auto"/>
            <w:noWrap/>
            <w:vAlign w:val="bottom"/>
            <w:hideMark/>
          </w:tcPr>
          <w:p w14:paraId="69E94F00" w14:textId="77777777" w:rsidR="0039673B" w:rsidRPr="00DB20F6" w:rsidRDefault="0039673B" w:rsidP="00C07BA6">
            <w:pPr>
              <w:jc w:val="right"/>
              <w:rPr>
                <w:rFonts w:cstheme="minorHAnsi"/>
                <w:color w:val="000000"/>
                <w:sz w:val="16"/>
                <w:szCs w:val="16"/>
              </w:rPr>
            </w:pPr>
            <w:r w:rsidRPr="00DB20F6">
              <w:rPr>
                <w:color w:val="000000"/>
                <w:sz w:val="16"/>
              </w:rPr>
              <w:t>-33,5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688A0D9" w14:textId="77777777" w:rsidR="0039673B" w:rsidRPr="00DB20F6" w:rsidRDefault="0039673B" w:rsidP="00C07BA6">
            <w:pPr>
              <w:jc w:val="right"/>
              <w:rPr>
                <w:rFonts w:cstheme="minorHAnsi"/>
                <w:color w:val="000000"/>
                <w:sz w:val="16"/>
                <w:szCs w:val="16"/>
              </w:rPr>
            </w:pPr>
            <w:r w:rsidRPr="00DB20F6">
              <w:rPr>
                <w:color w:val="000000"/>
                <w:sz w:val="16"/>
              </w:rPr>
              <w:t>35,2</w:t>
            </w:r>
          </w:p>
        </w:tc>
      </w:tr>
      <w:tr w:rsidR="0039673B" w:rsidRPr="00DB20F6" w14:paraId="53866417" w14:textId="77777777" w:rsidTr="00C07BA6">
        <w:tc>
          <w:tcPr>
            <w:tcW w:w="1229" w:type="dxa"/>
            <w:tcBorders>
              <w:top w:val="single" w:sz="4" w:space="0" w:color="auto"/>
              <w:left w:val="single" w:sz="4" w:space="0" w:color="auto"/>
              <w:bottom w:val="single" w:sz="4" w:space="0" w:color="auto"/>
              <w:right w:val="nil"/>
            </w:tcBorders>
            <w:shd w:val="clear" w:color="auto" w:fill="auto"/>
            <w:vAlign w:val="bottom"/>
            <w:hideMark/>
          </w:tcPr>
          <w:p w14:paraId="41DF4D7D" w14:textId="77777777" w:rsidR="0039673B" w:rsidRPr="00DB20F6" w:rsidRDefault="0039673B" w:rsidP="00C07BA6">
            <w:pPr>
              <w:rPr>
                <w:rFonts w:cstheme="minorHAnsi"/>
                <w:b/>
                <w:bCs/>
                <w:color w:val="000000"/>
                <w:sz w:val="16"/>
                <w:szCs w:val="16"/>
              </w:rPr>
            </w:pPr>
            <w:r w:rsidRPr="00DB20F6">
              <w:rPr>
                <w:b/>
                <w:color w:val="000000"/>
                <w:sz w:val="16"/>
              </w:rPr>
              <w:t>Union européenne</w:t>
            </w:r>
          </w:p>
        </w:tc>
        <w:tc>
          <w:tcPr>
            <w:tcW w:w="609" w:type="dxa"/>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14:paraId="2EAC99F0" w14:textId="77777777" w:rsidR="0039673B" w:rsidRPr="00DB20F6" w:rsidRDefault="0039673B" w:rsidP="00C07BA6">
            <w:pPr>
              <w:jc w:val="right"/>
              <w:rPr>
                <w:rFonts w:cstheme="minorHAnsi"/>
                <w:b/>
                <w:bCs/>
                <w:color w:val="000000"/>
                <w:sz w:val="16"/>
                <w:szCs w:val="16"/>
              </w:rPr>
            </w:pPr>
            <w:r w:rsidRPr="00DB20F6">
              <w:rPr>
                <w:b/>
                <w:color w:val="000000"/>
                <w:sz w:val="16"/>
              </w:rPr>
              <w:t>62,2</w:t>
            </w:r>
          </w:p>
        </w:tc>
        <w:tc>
          <w:tcPr>
            <w:tcW w:w="98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2E9A6AC0" w14:textId="77777777" w:rsidR="0039673B" w:rsidRPr="00DB20F6" w:rsidRDefault="0039673B" w:rsidP="00C07BA6">
            <w:pPr>
              <w:jc w:val="right"/>
              <w:rPr>
                <w:rFonts w:cstheme="minorHAnsi"/>
                <w:b/>
                <w:bCs/>
                <w:color w:val="000000"/>
                <w:sz w:val="16"/>
                <w:szCs w:val="16"/>
              </w:rPr>
            </w:pPr>
            <w:r w:rsidRPr="00DB20F6">
              <w:rPr>
                <w:b/>
                <w:color w:val="000000"/>
                <w:sz w:val="16"/>
              </w:rPr>
              <w:t>787.912,2</w:t>
            </w:r>
          </w:p>
        </w:tc>
        <w:tc>
          <w:tcPr>
            <w:tcW w:w="98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74FE0410" w14:textId="77777777" w:rsidR="0039673B" w:rsidRPr="00DB20F6" w:rsidRDefault="0039673B" w:rsidP="00C07BA6">
            <w:pPr>
              <w:jc w:val="right"/>
              <w:rPr>
                <w:rFonts w:cstheme="minorHAnsi"/>
                <w:b/>
                <w:bCs/>
                <w:color w:val="000000"/>
                <w:sz w:val="16"/>
                <w:szCs w:val="16"/>
              </w:rPr>
            </w:pPr>
            <w:r w:rsidRPr="00DB20F6">
              <w:rPr>
                <w:b/>
                <w:color w:val="000000"/>
                <w:sz w:val="16"/>
              </w:rPr>
              <w:t>758.470,3</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4FEEE27B" w14:textId="77777777" w:rsidR="0039673B" w:rsidRPr="00DB20F6" w:rsidRDefault="0039673B" w:rsidP="00C07BA6">
            <w:pPr>
              <w:jc w:val="right"/>
              <w:rPr>
                <w:rFonts w:cstheme="minorHAnsi"/>
                <w:b/>
                <w:bCs/>
                <w:color w:val="000000"/>
                <w:sz w:val="16"/>
                <w:szCs w:val="16"/>
              </w:rPr>
            </w:pPr>
            <w:r w:rsidRPr="00DB20F6">
              <w:rPr>
                <w:b/>
                <w:color w:val="000000"/>
                <w:sz w:val="16"/>
              </w:rPr>
              <w:t>-3,7</w:t>
            </w:r>
          </w:p>
        </w:tc>
        <w:tc>
          <w:tcPr>
            <w:tcW w:w="786"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1A736E84" w14:textId="77777777" w:rsidR="0039673B" w:rsidRPr="00DB20F6" w:rsidRDefault="0039673B" w:rsidP="00C07BA6">
            <w:pPr>
              <w:jc w:val="right"/>
              <w:rPr>
                <w:rFonts w:cstheme="minorHAnsi"/>
                <w:b/>
                <w:bCs/>
                <w:color w:val="000000"/>
                <w:sz w:val="16"/>
                <w:szCs w:val="16"/>
              </w:rPr>
            </w:pPr>
            <w:r w:rsidRPr="00DB20F6">
              <w:rPr>
                <w:b/>
                <w:color w:val="000000"/>
                <w:sz w:val="16"/>
              </w:rPr>
              <w:t>89,4</w:t>
            </w:r>
          </w:p>
        </w:tc>
        <w:tc>
          <w:tcPr>
            <w:tcW w:w="85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59636BA8" w14:textId="77777777" w:rsidR="0039673B" w:rsidRPr="00DB20F6" w:rsidRDefault="0039673B" w:rsidP="00C07BA6">
            <w:pPr>
              <w:jc w:val="right"/>
              <w:rPr>
                <w:rFonts w:cstheme="minorHAnsi"/>
                <w:b/>
                <w:bCs/>
                <w:color w:val="000000"/>
                <w:sz w:val="16"/>
                <w:szCs w:val="16"/>
              </w:rPr>
            </w:pPr>
            <w:r w:rsidRPr="00DB20F6">
              <w:rPr>
                <w:b/>
                <w:color w:val="000000"/>
                <w:sz w:val="16"/>
              </w:rPr>
              <w:t>829.210,7</w:t>
            </w:r>
          </w:p>
        </w:tc>
        <w:tc>
          <w:tcPr>
            <w:tcW w:w="85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56260497" w14:textId="77777777" w:rsidR="0039673B" w:rsidRPr="00DB20F6" w:rsidRDefault="0039673B" w:rsidP="00C07BA6">
            <w:pPr>
              <w:jc w:val="right"/>
              <w:rPr>
                <w:rFonts w:cstheme="minorHAnsi"/>
                <w:b/>
                <w:bCs/>
                <w:color w:val="000000"/>
                <w:sz w:val="16"/>
                <w:szCs w:val="16"/>
              </w:rPr>
            </w:pPr>
            <w:r w:rsidRPr="00DB20F6">
              <w:rPr>
                <w:b/>
                <w:color w:val="000000"/>
                <w:sz w:val="16"/>
              </w:rPr>
              <w:t>716.981,9</w:t>
            </w:r>
          </w:p>
        </w:tc>
        <w:tc>
          <w:tcPr>
            <w:tcW w:w="639" w:type="dxa"/>
            <w:tcBorders>
              <w:top w:val="single" w:sz="4" w:space="0" w:color="auto"/>
              <w:left w:val="nil"/>
              <w:bottom w:val="single" w:sz="4" w:space="0" w:color="auto"/>
              <w:right w:val="nil"/>
            </w:tcBorders>
            <w:shd w:val="clear" w:color="auto" w:fill="auto"/>
            <w:noWrap/>
            <w:vAlign w:val="bottom"/>
            <w:hideMark/>
          </w:tcPr>
          <w:p w14:paraId="0B8AF8AA" w14:textId="77777777" w:rsidR="0039673B" w:rsidRPr="00DB20F6" w:rsidRDefault="0039673B" w:rsidP="00C07BA6">
            <w:pPr>
              <w:jc w:val="right"/>
              <w:rPr>
                <w:rFonts w:cstheme="minorHAnsi"/>
                <w:b/>
                <w:bCs/>
                <w:color w:val="000000"/>
                <w:sz w:val="16"/>
                <w:szCs w:val="16"/>
              </w:rPr>
            </w:pPr>
            <w:r w:rsidRPr="00DB20F6">
              <w:rPr>
                <w:b/>
                <w:color w:val="000000"/>
                <w:sz w:val="16"/>
              </w:rPr>
              <w:t>-13,5</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4322" w14:textId="77777777" w:rsidR="0039673B" w:rsidRPr="00DB20F6" w:rsidRDefault="0039673B" w:rsidP="00C07BA6">
            <w:pPr>
              <w:jc w:val="right"/>
              <w:rPr>
                <w:rFonts w:cstheme="minorHAnsi"/>
                <w:b/>
                <w:bCs/>
                <w:color w:val="000000"/>
                <w:sz w:val="16"/>
                <w:szCs w:val="16"/>
              </w:rPr>
            </w:pPr>
            <w:r w:rsidRPr="00DB20F6">
              <w:rPr>
                <w:b/>
                <w:color w:val="000000"/>
                <w:sz w:val="16"/>
              </w:rPr>
              <w:t>94,5</w:t>
            </w:r>
          </w:p>
        </w:tc>
      </w:tr>
      <w:tr w:rsidR="0039673B" w:rsidRPr="00DB20F6" w14:paraId="5A3C638A" w14:textId="77777777" w:rsidTr="00C07BA6">
        <w:tc>
          <w:tcPr>
            <w:tcW w:w="1229"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65BAA031" w14:textId="77777777" w:rsidR="0039673B" w:rsidRPr="00DB20F6" w:rsidRDefault="0039673B" w:rsidP="00C07BA6">
            <w:pPr>
              <w:rPr>
                <w:rFonts w:cstheme="minorHAnsi"/>
                <w:color w:val="000000"/>
                <w:sz w:val="16"/>
                <w:szCs w:val="16"/>
              </w:rPr>
            </w:pPr>
            <w:r w:rsidRPr="00DB20F6">
              <w:rPr>
                <w:color w:val="000000"/>
                <w:sz w:val="16"/>
              </w:rPr>
              <w:t>Royaume-Uni</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3A06FD6"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7CEF3E21" w14:textId="77777777" w:rsidR="0039673B" w:rsidRPr="00DB20F6" w:rsidRDefault="0039673B" w:rsidP="00C07BA6">
            <w:pPr>
              <w:jc w:val="right"/>
              <w:rPr>
                <w:rFonts w:cstheme="minorHAnsi"/>
                <w:color w:val="000000"/>
                <w:sz w:val="16"/>
                <w:szCs w:val="16"/>
              </w:rPr>
            </w:pPr>
            <w:r w:rsidRPr="00DB20F6">
              <w:rPr>
                <w:color w:val="000000"/>
                <w:sz w:val="16"/>
              </w:rPr>
              <w:t>10.579,8</w:t>
            </w:r>
          </w:p>
        </w:tc>
        <w:tc>
          <w:tcPr>
            <w:tcW w:w="9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012F6C95" w14:textId="77777777" w:rsidR="0039673B" w:rsidRPr="00DB20F6" w:rsidRDefault="0039673B" w:rsidP="00C07BA6">
            <w:pPr>
              <w:jc w:val="right"/>
              <w:rPr>
                <w:rFonts w:cstheme="minorHAnsi"/>
                <w:color w:val="000000"/>
                <w:sz w:val="16"/>
                <w:szCs w:val="16"/>
              </w:rPr>
            </w:pPr>
            <w:r w:rsidRPr="00DB20F6">
              <w:rPr>
                <w:color w:val="000000"/>
                <w:sz w:val="16"/>
              </w:rPr>
              <w:t>8.451,6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13653585" w14:textId="77777777" w:rsidR="0039673B" w:rsidRPr="00DB20F6" w:rsidRDefault="0039673B" w:rsidP="00C07BA6">
            <w:pPr>
              <w:jc w:val="right"/>
              <w:rPr>
                <w:rFonts w:cstheme="minorHAnsi"/>
                <w:color w:val="000000"/>
                <w:sz w:val="16"/>
                <w:szCs w:val="16"/>
              </w:rPr>
            </w:pPr>
            <w:r w:rsidRPr="00DB20F6">
              <w:rPr>
                <w:color w:val="000000"/>
                <w:sz w:val="16"/>
              </w:rPr>
              <w:t>-20,1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C2FB4C" w14:textId="77777777" w:rsidR="0039673B" w:rsidRPr="00DB20F6" w:rsidRDefault="0039673B" w:rsidP="00C07BA6">
            <w:pPr>
              <w:jc w:val="right"/>
              <w:rPr>
                <w:rFonts w:cstheme="minorHAnsi"/>
                <w:color w:val="000000"/>
                <w:sz w:val="16"/>
                <w:szCs w:val="16"/>
              </w:rPr>
            </w:pPr>
            <w:r w:rsidRPr="00DB20F6">
              <w:rPr>
                <w:color w:val="000000"/>
                <w:sz w:val="16"/>
              </w:rPr>
              <w:t>2,4</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4F2F58A1" w14:textId="77777777" w:rsidR="0039673B" w:rsidRPr="00DB20F6" w:rsidRDefault="0039673B" w:rsidP="00C07BA6">
            <w:pPr>
              <w:jc w:val="right"/>
              <w:rPr>
                <w:rFonts w:cstheme="minorHAnsi"/>
                <w:color w:val="000000"/>
                <w:sz w:val="16"/>
                <w:szCs w:val="16"/>
              </w:rPr>
            </w:pPr>
            <w:r w:rsidRPr="00DB20F6">
              <w:rPr>
                <w:color w:val="000000"/>
                <w:sz w:val="16"/>
              </w:rPr>
              <w:t>22.932,9</w:t>
            </w:r>
          </w:p>
        </w:tc>
        <w:tc>
          <w:tcPr>
            <w:tcW w:w="859"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6667FBA7" w14:textId="77777777" w:rsidR="0039673B" w:rsidRPr="00DB20F6" w:rsidRDefault="0039673B" w:rsidP="00C07BA6">
            <w:pPr>
              <w:jc w:val="right"/>
              <w:rPr>
                <w:rFonts w:cstheme="minorHAnsi"/>
                <w:color w:val="000000"/>
                <w:sz w:val="16"/>
                <w:szCs w:val="16"/>
              </w:rPr>
            </w:pPr>
            <w:r w:rsidRPr="00DB20F6">
              <w:rPr>
                <w:color w:val="000000"/>
                <w:sz w:val="16"/>
              </w:rPr>
              <w:t>19.142,6</w:t>
            </w:r>
          </w:p>
        </w:tc>
        <w:tc>
          <w:tcPr>
            <w:tcW w:w="639" w:type="dxa"/>
            <w:tcBorders>
              <w:top w:val="nil"/>
              <w:left w:val="nil"/>
              <w:bottom w:val="single" w:sz="4" w:space="0" w:color="FFFFFF" w:themeColor="background1"/>
              <w:right w:val="nil"/>
            </w:tcBorders>
            <w:shd w:val="clear" w:color="auto" w:fill="auto"/>
            <w:noWrap/>
            <w:vAlign w:val="bottom"/>
            <w:hideMark/>
          </w:tcPr>
          <w:p w14:paraId="3E2E320D" w14:textId="77777777" w:rsidR="0039673B" w:rsidRPr="00DB20F6" w:rsidRDefault="0039673B" w:rsidP="00C07BA6">
            <w:pPr>
              <w:jc w:val="right"/>
              <w:rPr>
                <w:rFonts w:cstheme="minorHAnsi"/>
                <w:color w:val="000000"/>
                <w:sz w:val="16"/>
                <w:szCs w:val="16"/>
              </w:rPr>
            </w:pPr>
            <w:r w:rsidRPr="00DB20F6">
              <w:rPr>
                <w:color w:val="000000"/>
                <w:sz w:val="16"/>
              </w:rPr>
              <w:t>-16,5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D42E448" w14:textId="77777777" w:rsidR="0039673B" w:rsidRPr="00DB20F6" w:rsidRDefault="0039673B" w:rsidP="00C07BA6">
            <w:pPr>
              <w:jc w:val="right"/>
              <w:rPr>
                <w:rFonts w:cstheme="minorHAnsi"/>
                <w:color w:val="000000"/>
                <w:sz w:val="16"/>
                <w:szCs w:val="16"/>
              </w:rPr>
            </w:pPr>
            <w:r w:rsidRPr="00DB20F6">
              <w:rPr>
                <w:color w:val="000000"/>
                <w:sz w:val="16"/>
              </w:rPr>
              <w:t>226,5</w:t>
            </w:r>
          </w:p>
        </w:tc>
      </w:tr>
      <w:tr w:rsidR="0039673B" w:rsidRPr="00DB20F6" w14:paraId="090C738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9C3869D" w14:textId="77777777" w:rsidR="0039673B" w:rsidRPr="00DB20F6" w:rsidRDefault="0039673B" w:rsidP="00C07BA6">
            <w:pPr>
              <w:rPr>
                <w:rFonts w:cstheme="minorHAnsi"/>
                <w:color w:val="000000"/>
                <w:sz w:val="16"/>
                <w:szCs w:val="16"/>
              </w:rPr>
            </w:pPr>
            <w:r w:rsidRPr="00DB20F6">
              <w:rPr>
                <w:color w:val="000000"/>
                <w:sz w:val="16"/>
              </w:rPr>
              <w:t>Suisse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D101AF0"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DE6443A" w14:textId="77777777" w:rsidR="0039673B" w:rsidRPr="00DB20F6" w:rsidRDefault="0039673B" w:rsidP="00C07BA6">
            <w:pPr>
              <w:jc w:val="right"/>
              <w:rPr>
                <w:rFonts w:cstheme="minorHAnsi"/>
                <w:color w:val="000000"/>
                <w:sz w:val="16"/>
                <w:szCs w:val="16"/>
              </w:rPr>
            </w:pPr>
            <w:r w:rsidRPr="00DB20F6">
              <w:rPr>
                <w:color w:val="000000"/>
                <w:sz w:val="16"/>
              </w:rPr>
              <w:t>1.299,5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5D43325" w14:textId="77777777" w:rsidR="0039673B" w:rsidRPr="00DB20F6" w:rsidRDefault="0039673B" w:rsidP="00C07BA6">
            <w:pPr>
              <w:jc w:val="right"/>
              <w:rPr>
                <w:rFonts w:cstheme="minorHAnsi"/>
                <w:color w:val="000000"/>
                <w:sz w:val="16"/>
                <w:szCs w:val="16"/>
              </w:rPr>
            </w:pPr>
            <w:r w:rsidRPr="00DB20F6">
              <w:rPr>
                <w:color w:val="000000"/>
                <w:sz w:val="16"/>
              </w:rPr>
              <w:t>1.062,9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8BAF69E" w14:textId="77777777" w:rsidR="0039673B" w:rsidRPr="00DB20F6" w:rsidRDefault="0039673B" w:rsidP="00C07BA6">
            <w:pPr>
              <w:jc w:val="right"/>
              <w:rPr>
                <w:rFonts w:cstheme="minorHAnsi"/>
                <w:color w:val="000000"/>
                <w:sz w:val="16"/>
                <w:szCs w:val="16"/>
              </w:rPr>
            </w:pPr>
            <w:r w:rsidRPr="00DB20F6">
              <w:rPr>
                <w:color w:val="000000"/>
                <w:sz w:val="16"/>
              </w:rPr>
              <w:t>-18,2</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794060E" w14:textId="77777777" w:rsidR="0039673B" w:rsidRPr="00DB20F6" w:rsidRDefault="0039673B" w:rsidP="00C07BA6">
            <w:pPr>
              <w:jc w:val="right"/>
              <w:rPr>
                <w:rFonts w:cstheme="minorHAnsi"/>
                <w:color w:val="000000"/>
                <w:sz w:val="16"/>
                <w:szCs w:val="16"/>
              </w:rPr>
            </w:pPr>
            <w:r w:rsidRPr="00DB20F6">
              <w:rPr>
                <w:color w:val="000000"/>
                <w:sz w:val="16"/>
              </w:rPr>
              <w:t>1,4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B92E30" w14:textId="77777777" w:rsidR="0039673B" w:rsidRPr="00DB20F6" w:rsidRDefault="0039673B" w:rsidP="00C07BA6">
            <w:pPr>
              <w:jc w:val="right"/>
              <w:rPr>
                <w:rFonts w:cstheme="minorHAnsi"/>
                <w:color w:val="000000"/>
                <w:sz w:val="16"/>
                <w:szCs w:val="16"/>
              </w:rPr>
            </w:pPr>
            <w:r w:rsidRPr="00DB20F6">
              <w:rPr>
                <w:color w:val="000000"/>
                <w:sz w:val="16"/>
              </w:rPr>
              <w:t>10.497,5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2DBEE1" w14:textId="77777777" w:rsidR="0039673B" w:rsidRPr="00DB20F6" w:rsidRDefault="0039673B" w:rsidP="00C07BA6">
            <w:pPr>
              <w:jc w:val="right"/>
              <w:rPr>
                <w:rFonts w:cstheme="minorHAnsi"/>
                <w:color w:val="000000"/>
                <w:sz w:val="16"/>
                <w:szCs w:val="16"/>
              </w:rPr>
            </w:pPr>
            <w:r w:rsidRPr="00DB20F6">
              <w:rPr>
                <w:color w:val="000000"/>
                <w:sz w:val="16"/>
              </w:rPr>
              <w:t>11.084,4</w:t>
            </w:r>
          </w:p>
        </w:tc>
        <w:tc>
          <w:tcPr>
            <w:tcW w:w="639" w:type="dxa"/>
            <w:tcBorders>
              <w:top w:val="nil"/>
              <w:left w:val="nil"/>
              <w:bottom w:val="single" w:sz="4" w:space="0" w:color="FFFFFF" w:themeColor="background1"/>
              <w:right w:val="nil"/>
            </w:tcBorders>
            <w:shd w:val="clear" w:color="auto" w:fill="auto"/>
            <w:noWrap/>
            <w:vAlign w:val="bottom"/>
            <w:hideMark/>
          </w:tcPr>
          <w:p w14:paraId="5900969A" w14:textId="77777777" w:rsidR="0039673B" w:rsidRPr="00DB20F6" w:rsidRDefault="0039673B" w:rsidP="00C07BA6">
            <w:pPr>
              <w:jc w:val="right"/>
              <w:rPr>
                <w:rFonts w:cstheme="minorHAnsi"/>
                <w:color w:val="000000"/>
                <w:sz w:val="16"/>
                <w:szCs w:val="16"/>
              </w:rPr>
            </w:pPr>
            <w:r w:rsidRPr="00DB20F6">
              <w:rPr>
                <w:color w:val="000000"/>
                <w:sz w:val="16"/>
              </w:rPr>
              <w:t>5,6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69E7C1F" w14:textId="77777777" w:rsidR="0039673B" w:rsidRPr="00DB20F6" w:rsidRDefault="0039673B" w:rsidP="00C07BA6">
            <w:pPr>
              <w:jc w:val="right"/>
              <w:rPr>
                <w:rFonts w:cstheme="minorHAnsi"/>
                <w:color w:val="000000"/>
                <w:sz w:val="16"/>
                <w:szCs w:val="16"/>
              </w:rPr>
            </w:pPr>
            <w:r w:rsidRPr="00DB20F6">
              <w:rPr>
                <w:color w:val="000000"/>
                <w:sz w:val="16"/>
              </w:rPr>
              <w:t>1.042,8</w:t>
            </w:r>
          </w:p>
        </w:tc>
      </w:tr>
      <w:tr w:rsidR="0039673B" w:rsidRPr="00DB20F6" w14:paraId="435E6D2B"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DB7BEDB" w14:textId="77777777" w:rsidR="0039673B" w:rsidRPr="00DB20F6" w:rsidRDefault="0039673B" w:rsidP="00C07BA6">
            <w:pPr>
              <w:rPr>
                <w:rFonts w:cstheme="minorHAnsi"/>
                <w:color w:val="000000"/>
                <w:sz w:val="16"/>
                <w:szCs w:val="16"/>
              </w:rPr>
            </w:pPr>
            <w:r w:rsidRPr="00DB20F6">
              <w:rPr>
                <w:color w:val="000000"/>
                <w:sz w:val="16"/>
              </w:rPr>
              <w:t>Norvège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D21AABB"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F9F933D" w14:textId="77777777" w:rsidR="0039673B" w:rsidRPr="00DB20F6" w:rsidRDefault="0039673B" w:rsidP="00C07BA6">
            <w:pPr>
              <w:jc w:val="right"/>
              <w:rPr>
                <w:rFonts w:cstheme="minorHAnsi"/>
                <w:color w:val="000000"/>
                <w:sz w:val="16"/>
                <w:szCs w:val="16"/>
              </w:rPr>
            </w:pPr>
            <w:r w:rsidRPr="00DB20F6">
              <w:rPr>
                <w:color w:val="000000"/>
                <w:sz w:val="16"/>
              </w:rPr>
              <w:t>25,7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7E053B1" w14:textId="77777777" w:rsidR="0039673B" w:rsidRPr="00DB20F6" w:rsidRDefault="0039673B" w:rsidP="00C07BA6">
            <w:pPr>
              <w:jc w:val="right"/>
              <w:rPr>
                <w:rFonts w:cstheme="minorHAnsi"/>
                <w:color w:val="000000"/>
                <w:sz w:val="16"/>
                <w:szCs w:val="16"/>
              </w:rPr>
            </w:pPr>
            <w:r w:rsidRPr="00DB20F6">
              <w:rPr>
                <w:color w:val="000000"/>
                <w:sz w:val="16"/>
              </w:rPr>
              <w:t>30,4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03F7808D" w14:textId="77777777" w:rsidR="0039673B" w:rsidRPr="00DB20F6" w:rsidRDefault="0039673B" w:rsidP="00C07BA6">
            <w:pPr>
              <w:jc w:val="right"/>
              <w:rPr>
                <w:rFonts w:cstheme="minorHAnsi"/>
                <w:color w:val="000000"/>
                <w:sz w:val="16"/>
                <w:szCs w:val="16"/>
              </w:rPr>
            </w:pPr>
            <w:r w:rsidRPr="00DB20F6">
              <w:rPr>
                <w:color w:val="000000"/>
                <w:sz w:val="16"/>
              </w:rPr>
              <w:t>18,1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0B4D21"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9AD5C3" w14:textId="77777777" w:rsidR="0039673B" w:rsidRPr="00DB20F6" w:rsidRDefault="0039673B" w:rsidP="00C07BA6">
            <w:pPr>
              <w:jc w:val="right"/>
              <w:rPr>
                <w:rFonts w:cstheme="minorHAnsi"/>
                <w:color w:val="000000"/>
                <w:sz w:val="16"/>
                <w:szCs w:val="16"/>
              </w:rPr>
            </w:pPr>
            <w:r w:rsidRPr="00DB20F6">
              <w:rPr>
                <w:color w:val="000000"/>
                <w:sz w:val="16"/>
              </w:rPr>
              <w:t>867,5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076D76" w14:textId="77777777" w:rsidR="0039673B" w:rsidRPr="00DB20F6" w:rsidRDefault="0039673B" w:rsidP="00C07BA6">
            <w:pPr>
              <w:jc w:val="right"/>
              <w:rPr>
                <w:rFonts w:cstheme="minorHAnsi"/>
                <w:color w:val="000000"/>
                <w:sz w:val="16"/>
                <w:szCs w:val="16"/>
              </w:rPr>
            </w:pPr>
            <w:r w:rsidRPr="00DB20F6">
              <w:rPr>
                <w:color w:val="000000"/>
                <w:sz w:val="16"/>
              </w:rPr>
              <w:t>896,1</w:t>
            </w:r>
          </w:p>
        </w:tc>
        <w:tc>
          <w:tcPr>
            <w:tcW w:w="639" w:type="dxa"/>
            <w:tcBorders>
              <w:top w:val="nil"/>
              <w:left w:val="nil"/>
              <w:bottom w:val="single" w:sz="4" w:space="0" w:color="FFFFFF" w:themeColor="background1"/>
              <w:right w:val="nil"/>
            </w:tcBorders>
            <w:shd w:val="clear" w:color="auto" w:fill="auto"/>
            <w:noWrap/>
            <w:vAlign w:val="bottom"/>
            <w:hideMark/>
          </w:tcPr>
          <w:p w14:paraId="03FF169F" w14:textId="77777777" w:rsidR="0039673B" w:rsidRPr="00DB20F6" w:rsidRDefault="0039673B" w:rsidP="00C07BA6">
            <w:pPr>
              <w:jc w:val="right"/>
              <w:rPr>
                <w:rFonts w:cstheme="minorHAnsi"/>
                <w:color w:val="000000"/>
                <w:sz w:val="16"/>
                <w:szCs w:val="16"/>
              </w:rPr>
            </w:pPr>
            <w:r w:rsidRPr="00DB20F6">
              <w:rPr>
                <w:color w:val="000000"/>
                <w:sz w:val="16"/>
              </w:rPr>
              <w:t>3,3</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C138190" w14:textId="77777777" w:rsidR="0039673B" w:rsidRPr="00DB20F6" w:rsidRDefault="0039673B" w:rsidP="00C07BA6">
            <w:pPr>
              <w:jc w:val="right"/>
              <w:rPr>
                <w:rFonts w:cstheme="minorHAnsi"/>
                <w:color w:val="000000"/>
                <w:sz w:val="16"/>
                <w:szCs w:val="16"/>
              </w:rPr>
            </w:pPr>
            <w:r w:rsidRPr="00DB20F6">
              <w:rPr>
                <w:color w:val="000000"/>
                <w:sz w:val="16"/>
              </w:rPr>
              <w:t>2.950,1</w:t>
            </w:r>
          </w:p>
        </w:tc>
      </w:tr>
      <w:tr w:rsidR="0039673B" w:rsidRPr="00DB20F6" w14:paraId="42A476F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88EEE34" w14:textId="77777777" w:rsidR="0039673B" w:rsidRPr="00DB20F6" w:rsidRDefault="0039673B" w:rsidP="00C07BA6">
            <w:pPr>
              <w:rPr>
                <w:rFonts w:cstheme="minorHAnsi"/>
                <w:color w:val="000000"/>
                <w:sz w:val="16"/>
                <w:szCs w:val="16"/>
              </w:rPr>
            </w:pPr>
            <w:r w:rsidRPr="00DB20F6">
              <w:rPr>
                <w:color w:val="000000"/>
                <w:sz w:val="16"/>
              </w:rPr>
              <w:t>Ukraine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E5503BA" w14:textId="77777777" w:rsidR="0039673B" w:rsidRPr="00DB20F6" w:rsidRDefault="0039673B" w:rsidP="00C07BA6">
            <w:pPr>
              <w:jc w:val="right"/>
              <w:rPr>
                <w:rFonts w:cstheme="minorHAnsi"/>
                <w:color w:val="000000"/>
                <w:sz w:val="16"/>
                <w:szCs w:val="16"/>
              </w:rPr>
            </w:pPr>
            <w:r w:rsidRPr="00DB20F6">
              <w:rPr>
                <w:color w:val="000000"/>
                <w:sz w:val="16"/>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E7CD14F" w14:textId="77777777" w:rsidR="0039673B" w:rsidRPr="00DB20F6" w:rsidRDefault="0039673B" w:rsidP="00C07BA6">
            <w:pPr>
              <w:jc w:val="right"/>
              <w:rPr>
                <w:rFonts w:cstheme="minorHAnsi"/>
                <w:color w:val="000000"/>
                <w:sz w:val="16"/>
                <w:szCs w:val="16"/>
              </w:rPr>
            </w:pPr>
            <w:r w:rsidRPr="00DB20F6">
              <w:rPr>
                <w:color w:val="000000"/>
                <w:sz w:val="16"/>
              </w:rPr>
              <w:t>11.236,2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5769C43" w14:textId="77777777" w:rsidR="0039673B" w:rsidRPr="00DB20F6" w:rsidRDefault="0039673B" w:rsidP="00C07BA6">
            <w:pPr>
              <w:jc w:val="right"/>
              <w:rPr>
                <w:rFonts w:cstheme="minorHAnsi"/>
                <w:color w:val="000000"/>
                <w:sz w:val="16"/>
                <w:szCs w:val="16"/>
              </w:rPr>
            </w:pPr>
            <w:r w:rsidRPr="00DB20F6">
              <w:rPr>
                <w:color w:val="000000"/>
                <w:sz w:val="16"/>
              </w:rPr>
              <w:t>9.947,2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255AB00" w14:textId="77777777" w:rsidR="0039673B" w:rsidRPr="00DB20F6" w:rsidRDefault="0039673B" w:rsidP="00C07BA6">
            <w:pPr>
              <w:jc w:val="right"/>
              <w:rPr>
                <w:rFonts w:cstheme="minorHAnsi"/>
                <w:color w:val="000000"/>
                <w:sz w:val="16"/>
                <w:szCs w:val="16"/>
              </w:rPr>
            </w:pPr>
            <w:r w:rsidRPr="00DB20F6">
              <w:rPr>
                <w:color w:val="000000"/>
                <w:sz w:val="16"/>
              </w:rPr>
              <w:t>-11,5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B8E182A"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41ABB8" w14:textId="77777777" w:rsidR="0039673B" w:rsidRPr="00DB20F6" w:rsidRDefault="0039673B" w:rsidP="00C07BA6">
            <w:pPr>
              <w:jc w:val="right"/>
              <w:rPr>
                <w:rFonts w:cstheme="minorHAnsi"/>
                <w:color w:val="000000"/>
                <w:sz w:val="16"/>
                <w:szCs w:val="16"/>
              </w:rPr>
            </w:pPr>
            <w:r w:rsidRPr="00DB20F6">
              <w:rPr>
                <w:color w:val="000000"/>
                <w:sz w:val="16"/>
              </w:rPr>
              <w:t>49,0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658EFB" w14:textId="77777777" w:rsidR="0039673B" w:rsidRPr="00DB20F6" w:rsidRDefault="0039673B" w:rsidP="00C07BA6">
            <w:pPr>
              <w:jc w:val="right"/>
              <w:rPr>
                <w:rFonts w:cstheme="minorHAnsi"/>
                <w:color w:val="000000"/>
                <w:sz w:val="16"/>
                <w:szCs w:val="16"/>
              </w:rPr>
            </w:pPr>
            <w:r w:rsidRPr="00DB20F6">
              <w:rPr>
                <w:color w:val="000000"/>
                <w:sz w:val="16"/>
              </w:rPr>
              <w:t>150,6</w:t>
            </w:r>
          </w:p>
        </w:tc>
        <w:tc>
          <w:tcPr>
            <w:tcW w:w="639" w:type="dxa"/>
            <w:tcBorders>
              <w:top w:val="nil"/>
              <w:left w:val="nil"/>
              <w:bottom w:val="single" w:sz="4" w:space="0" w:color="FFFFFF" w:themeColor="background1"/>
              <w:right w:val="nil"/>
            </w:tcBorders>
            <w:shd w:val="clear" w:color="auto" w:fill="auto"/>
            <w:noWrap/>
            <w:vAlign w:val="bottom"/>
            <w:hideMark/>
          </w:tcPr>
          <w:p w14:paraId="0A2B048F" w14:textId="77777777" w:rsidR="0039673B" w:rsidRPr="00DB20F6" w:rsidRDefault="0039673B" w:rsidP="00C07BA6">
            <w:pPr>
              <w:jc w:val="right"/>
              <w:rPr>
                <w:rFonts w:cstheme="minorHAnsi"/>
                <w:color w:val="000000"/>
                <w:sz w:val="16"/>
                <w:szCs w:val="16"/>
              </w:rPr>
            </w:pPr>
            <w:r w:rsidRPr="00DB20F6">
              <w:rPr>
                <w:color w:val="000000"/>
                <w:sz w:val="16"/>
              </w:rPr>
              <w:t>207,5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F5A9F77" w14:textId="77777777" w:rsidR="0039673B" w:rsidRPr="00DB20F6" w:rsidRDefault="0039673B" w:rsidP="00C07BA6">
            <w:pPr>
              <w:jc w:val="right"/>
              <w:rPr>
                <w:rFonts w:cstheme="minorHAnsi"/>
                <w:color w:val="000000"/>
                <w:sz w:val="16"/>
                <w:szCs w:val="16"/>
              </w:rPr>
            </w:pPr>
            <w:r w:rsidRPr="00DB20F6">
              <w:rPr>
                <w:color w:val="000000"/>
                <w:sz w:val="16"/>
              </w:rPr>
              <w:t>1,5</w:t>
            </w:r>
          </w:p>
        </w:tc>
      </w:tr>
      <w:tr w:rsidR="0039673B" w:rsidRPr="00DB20F6" w14:paraId="1F5B6BBA"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A73C5CE" w14:textId="77777777" w:rsidR="0039673B" w:rsidRPr="00DB20F6" w:rsidRDefault="0039673B" w:rsidP="00C07BA6">
            <w:pPr>
              <w:rPr>
                <w:rFonts w:cstheme="minorHAnsi"/>
                <w:color w:val="000000"/>
                <w:sz w:val="16"/>
                <w:szCs w:val="16"/>
              </w:rPr>
            </w:pPr>
            <w:r w:rsidRPr="00DB20F6">
              <w:rPr>
                <w:color w:val="000000"/>
                <w:sz w:val="16"/>
              </w:rPr>
              <w:t>Serbie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67849E7"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FB7E322" w14:textId="77777777" w:rsidR="0039673B" w:rsidRPr="00DB20F6" w:rsidRDefault="0039673B" w:rsidP="00C07BA6">
            <w:pPr>
              <w:jc w:val="right"/>
              <w:rPr>
                <w:rFonts w:cstheme="minorHAnsi"/>
                <w:color w:val="000000"/>
                <w:sz w:val="16"/>
                <w:szCs w:val="16"/>
              </w:rPr>
            </w:pPr>
            <w:r w:rsidRPr="00DB20F6">
              <w:rPr>
                <w:color w:val="000000"/>
                <w:sz w:val="16"/>
              </w:rPr>
              <w:t>8.173,5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915C60" w14:textId="77777777" w:rsidR="0039673B" w:rsidRPr="00DB20F6" w:rsidRDefault="0039673B" w:rsidP="00C07BA6">
            <w:pPr>
              <w:jc w:val="right"/>
              <w:rPr>
                <w:rFonts w:cstheme="minorHAnsi"/>
                <w:color w:val="000000"/>
                <w:sz w:val="16"/>
                <w:szCs w:val="16"/>
              </w:rPr>
            </w:pPr>
            <w:r w:rsidRPr="00DB20F6">
              <w:rPr>
                <w:color w:val="000000"/>
                <w:sz w:val="16"/>
              </w:rPr>
              <w:t>8.768,2</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F91C496" w14:textId="77777777" w:rsidR="0039673B" w:rsidRPr="00DB20F6" w:rsidRDefault="0039673B" w:rsidP="00C07BA6">
            <w:pPr>
              <w:jc w:val="right"/>
              <w:rPr>
                <w:rFonts w:cstheme="minorHAnsi"/>
                <w:color w:val="000000"/>
                <w:sz w:val="16"/>
                <w:szCs w:val="16"/>
              </w:rPr>
            </w:pPr>
            <w:r w:rsidRPr="00DB20F6">
              <w:rPr>
                <w:color w:val="000000"/>
                <w:sz w:val="16"/>
              </w:rPr>
              <w:t>7,3</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2F960C"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A9BFEE3" w14:textId="77777777" w:rsidR="0039673B" w:rsidRPr="00DB20F6" w:rsidRDefault="0039673B" w:rsidP="00C07BA6">
            <w:pPr>
              <w:jc w:val="right"/>
              <w:rPr>
                <w:rFonts w:cstheme="minorHAnsi"/>
                <w:color w:val="000000"/>
                <w:sz w:val="16"/>
                <w:szCs w:val="16"/>
              </w:rPr>
            </w:pPr>
            <w:r w:rsidRPr="00DB20F6">
              <w:rPr>
                <w:color w:val="000000"/>
                <w:sz w:val="16"/>
              </w:rPr>
              <w:t>102,2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8E0A9B" w14:textId="77777777" w:rsidR="0039673B" w:rsidRPr="00DB20F6" w:rsidRDefault="0039673B" w:rsidP="00C07BA6">
            <w:pPr>
              <w:jc w:val="right"/>
              <w:rPr>
                <w:rFonts w:cstheme="minorHAnsi"/>
                <w:color w:val="000000"/>
                <w:sz w:val="16"/>
                <w:szCs w:val="16"/>
              </w:rPr>
            </w:pPr>
            <w:r w:rsidRPr="00DB20F6">
              <w:rPr>
                <w:color w:val="000000"/>
                <w:sz w:val="16"/>
              </w:rPr>
              <w:t>152,1</w:t>
            </w:r>
          </w:p>
        </w:tc>
        <w:tc>
          <w:tcPr>
            <w:tcW w:w="639" w:type="dxa"/>
            <w:tcBorders>
              <w:top w:val="nil"/>
              <w:left w:val="nil"/>
              <w:bottom w:val="single" w:sz="4" w:space="0" w:color="FFFFFF" w:themeColor="background1"/>
              <w:right w:val="nil"/>
            </w:tcBorders>
            <w:shd w:val="clear" w:color="auto" w:fill="auto"/>
            <w:noWrap/>
            <w:vAlign w:val="bottom"/>
            <w:hideMark/>
          </w:tcPr>
          <w:p w14:paraId="6D39A25D" w14:textId="77777777" w:rsidR="0039673B" w:rsidRPr="00DB20F6" w:rsidRDefault="0039673B" w:rsidP="00C07BA6">
            <w:pPr>
              <w:jc w:val="right"/>
              <w:rPr>
                <w:rFonts w:cstheme="minorHAnsi"/>
                <w:color w:val="000000"/>
                <w:sz w:val="16"/>
                <w:szCs w:val="16"/>
              </w:rPr>
            </w:pPr>
            <w:r w:rsidRPr="00DB20F6">
              <w:rPr>
                <w:color w:val="000000"/>
                <w:sz w:val="16"/>
              </w:rPr>
              <w:t>48,8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16C39E" w14:textId="77777777" w:rsidR="0039673B" w:rsidRPr="00DB20F6" w:rsidRDefault="0039673B" w:rsidP="00C07BA6">
            <w:pPr>
              <w:jc w:val="right"/>
              <w:rPr>
                <w:rFonts w:cstheme="minorHAnsi"/>
                <w:color w:val="000000"/>
                <w:sz w:val="16"/>
                <w:szCs w:val="16"/>
              </w:rPr>
            </w:pPr>
            <w:r w:rsidRPr="00DB20F6">
              <w:rPr>
                <w:color w:val="000000"/>
                <w:sz w:val="16"/>
              </w:rPr>
              <w:t>1,7</w:t>
            </w:r>
          </w:p>
        </w:tc>
      </w:tr>
      <w:tr w:rsidR="0039673B" w:rsidRPr="00DB20F6" w14:paraId="409F2DA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140848E" w14:textId="77777777" w:rsidR="0039673B" w:rsidRPr="00DB20F6" w:rsidRDefault="0039673B" w:rsidP="00C07BA6">
            <w:pPr>
              <w:rPr>
                <w:rFonts w:cstheme="minorHAnsi"/>
                <w:color w:val="000000"/>
                <w:sz w:val="16"/>
                <w:szCs w:val="16"/>
              </w:rPr>
            </w:pPr>
            <w:r w:rsidRPr="00DB20F6">
              <w:rPr>
                <w:color w:val="000000"/>
                <w:sz w:val="16"/>
              </w:rPr>
              <w:t>USA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32A0816"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E851F4A" w14:textId="77777777" w:rsidR="0039673B" w:rsidRPr="00DB20F6" w:rsidRDefault="0039673B" w:rsidP="00C07BA6">
            <w:pPr>
              <w:jc w:val="right"/>
              <w:rPr>
                <w:rFonts w:cstheme="minorHAnsi"/>
                <w:color w:val="000000"/>
                <w:sz w:val="16"/>
                <w:szCs w:val="16"/>
              </w:rPr>
            </w:pPr>
            <w:r w:rsidRPr="00DB20F6">
              <w:rPr>
                <w:color w:val="000000"/>
                <w:sz w:val="16"/>
              </w:rPr>
              <w:t>2.993,7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40E37EB" w14:textId="77777777" w:rsidR="0039673B" w:rsidRPr="00DB20F6" w:rsidRDefault="0039673B" w:rsidP="00C07BA6">
            <w:pPr>
              <w:jc w:val="right"/>
              <w:rPr>
                <w:rFonts w:cstheme="minorHAnsi"/>
                <w:color w:val="000000"/>
                <w:sz w:val="16"/>
                <w:szCs w:val="16"/>
              </w:rPr>
            </w:pPr>
            <w:r w:rsidRPr="00DB20F6">
              <w:rPr>
                <w:color w:val="000000"/>
                <w:sz w:val="16"/>
              </w:rPr>
              <w:t>4.101,7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0840AA2" w14:textId="77777777" w:rsidR="0039673B" w:rsidRPr="00DB20F6" w:rsidRDefault="0039673B" w:rsidP="00C07BA6">
            <w:pPr>
              <w:jc w:val="right"/>
              <w:rPr>
                <w:rFonts w:cstheme="minorHAnsi"/>
                <w:color w:val="000000"/>
                <w:sz w:val="16"/>
                <w:szCs w:val="16"/>
              </w:rPr>
            </w:pPr>
            <w:r w:rsidRPr="00DB20F6">
              <w:rPr>
                <w:color w:val="000000"/>
                <w:sz w:val="16"/>
              </w:rPr>
              <w:t>37,0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98E802" w14:textId="77777777" w:rsidR="0039673B" w:rsidRPr="00DB20F6" w:rsidRDefault="0039673B" w:rsidP="00C07BA6">
            <w:pPr>
              <w:jc w:val="right"/>
              <w:rPr>
                <w:rFonts w:cstheme="minorHAnsi"/>
                <w:color w:val="000000"/>
                <w:sz w:val="16"/>
                <w:szCs w:val="16"/>
              </w:rPr>
            </w:pPr>
            <w:r w:rsidRPr="00DB20F6">
              <w:rPr>
                <w:color w:val="000000"/>
                <w:sz w:val="16"/>
              </w:rPr>
              <w:t>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0951A5" w14:textId="77777777" w:rsidR="0039673B" w:rsidRPr="00DB20F6" w:rsidRDefault="0039673B" w:rsidP="00C07BA6">
            <w:pPr>
              <w:jc w:val="right"/>
              <w:rPr>
                <w:rFonts w:cstheme="minorHAnsi"/>
                <w:color w:val="000000"/>
                <w:sz w:val="16"/>
                <w:szCs w:val="16"/>
              </w:rPr>
            </w:pPr>
            <w:r w:rsidRPr="00DB20F6">
              <w:rPr>
                <w:color w:val="000000"/>
                <w:sz w:val="16"/>
              </w:rPr>
              <w:t>17.526,4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8DF445" w14:textId="77777777" w:rsidR="0039673B" w:rsidRPr="00DB20F6" w:rsidRDefault="0039673B" w:rsidP="00C07BA6">
            <w:pPr>
              <w:jc w:val="right"/>
              <w:rPr>
                <w:rFonts w:cstheme="minorHAnsi"/>
                <w:color w:val="000000"/>
                <w:sz w:val="16"/>
                <w:szCs w:val="16"/>
              </w:rPr>
            </w:pPr>
            <w:r w:rsidRPr="00DB20F6">
              <w:rPr>
                <w:color w:val="000000"/>
                <w:sz w:val="16"/>
              </w:rPr>
              <w:t>19.439,8</w:t>
            </w:r>
          </w:p>
        </w:tc>
        <w:tc>
          <w:tcPr>
            <w:tcW w:w="639" w:type="dxa"/>
            <w:tcBorders>
              <w:top w:val="nil"/>
              <w:left w:val="nil"/>
              <w:bottom w:val="single" w:sz="4" w:space="0" w:color="FFFFFF" w:themeColor="background1"/>
              <w:right w:val="nil"/>
            </w:tcBorders>
            <w:shd w:val="clear" w:color="auto" w:fill="auto"/>
            <w:noWrap/>
            <w:vAlign w:val="bottom"/>
            <w:hideMark/>
          </w:tcPr>
          <w:p w14:paraId="31E0BFED" w14:textId="77777777" w:rsidR="0039673B" w:rsidRPr="00DB20F6" w:rsidRDefault="0039673B" w:rsidP="00C07BA6">
            <w:pPr>
              <w:jc w:val="right"/>
              <w:rPr>
                <w:rFonts w:cstheme="minorHAnsi"/>
                <w:color w:val="000000"/>
                <w:sz w:val="16"/>
                <w:szCs w:val="16"/>
              </w:rPr>
            </w:pPr>
            <w:r w:rsidRPr="00DB20F6">
              <w:rPr>
                <w:color w:val="000000"/>
                <w:sz w:val="16"/>
              </w:rPr>
              <w:t>10,9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62FBE2B" w14:textId="77777777" w:rsidR="0039673B" w:rsidRPr="00DB20F6" w:rsidRDefault="0039673B" w:rsidP="00C07BA6">
            <w:pPr>
              <w:jc w:val="right"/>
              <w:rPr>
                <w:rFonts w:cstheme="minorHAnsi"/>
                <w:color w:val="000000"/>
                <w:sz w:val="16"/>
                <w:szCs w:val="16"/>
              </w:rPr>
            </w:pPr>
            <w:r w:rsidRPr="00DB20F6">
              <w:rPr>
                <w:color w:val="000000"/>
                <w:sz w:val="16"/>
              </w:rPr>
              <w:t>473,9</w:t>
            </w:r>
          </w:p>
        </w:tc>
      </w:tr>
      <w:tr w:rsidR="0039673B" w:rsidRPr="00DB20F6" w14:paraId="7D654627"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5A6EB5C" w14:textId="77777777" w:rsidR="0039673B" w:rsidRPr="00DB20F6" w:rsidRDefault="0039673B" w:rsidP="00C07BA6">
            <w:pPr>
              <w:rPr>
                <w:rFonts w:cstheme="minorHAnsi"/>
                <w:color w:val="000000"/>
                <w:sz w:val="16"/>
                <w:szCs w:val="16"/>
              </w:rPr>
            </w:pPr>
            <w:r w:rsidRPr="00DB20F6">
              <w:rPr>
                <w:color w:val="000000"/>
                <w:sz w:val="16"/>
              </w:rPr>
              <w:t>Canada</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F9FE8C9"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4B241FC" w14:textId="77777777" w:rsidR="0039673B" w:rsidRPr="00DB20F6" w:rsidRDefault="0039673B" w:rsidP="00C07BA6">
            <w:pPr>
              <w:jc w:val="right"/>
              <w:rPr>
                <w:rFonts w:cstheme="minorHAnsi"/>
                <w:color w:val="000000"/>
                <w:sz w:val="16"/>
                <w:szCs w:val="16"/>
              </w:rPr>
            </w:pPr>
            <w:r w:rsidRPr="00DB20F6">
              <w:rPr>
                <w:color w:val="000000"/>
                <w:sz w:val="16"/>
              </w:rPr>
              <w:t>259,0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59A27A8" w14:textId="77777777" w:rsidR="0039673B" w:rsidRPr="00DB20F6" w:rsidRDefault="0039673B" w:rsidP="00C07BA6">
            <w:pPr>
              <w:jc w:val="right"/>
              <w:rPr>
                <w:rFonts w:cstheme="minorHAnsi"/>
                <w:color w:val="000000"/>
                <w:sz w:val="16"/>
                <w:szCs w:val="16"/>
              </w:rPr>
            </w:pPr>
            <w:r w:rsidRPr="00DB20F6">
              <w:rPr>
                <w:color w:val="000000"/>
                <w:sz w:val="16"/>
              </w:rPr>
              <w:t>78,7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5F019F8" w14:textId="77777777" w:rsidR="0039673B" w:rsidRPr="00DB20F6" w:rsidRDefault="0039673B" w:rsidP="00C07BA6">
            <w:pPr>
              <w:jc w:val="right"/>
              <w:rPr>
                <w:rFonts w:cstheme="minorHAnsi"/>
                <w:color w:val="000000"/>
                <w:sz w:val="16"/>
                <w:szCs w:val="16"/>
              </w:rPr>
            </w:pPr>
            <w:r w:rsidRPr="00DB20F6">
              <w:rPr>
                <w:color w:val="000000"/>
                <w:sz w:val="16"/>
              </w:rPr>
              <w:t>-69,6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2112EF"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E064D8" w14:textId="77777777" w:rsidR="0039673B" w:rsidRPr="00DB20F6" w:rsidRDefault="0039673B" w:rsidP="00C07BA6">
            <w:pPr>
              <w:jc w:val="right"/>
              <w:rPr>
                <w:rFonts w:cstheme="minorHAnsi"/>
                <w:color w:val="000000"/>
                <w:sz w:val="16"/>
                <w:szCs w:val="16"/>
              </w:rPr>
            </w:pPr>
            <w:r w:rsidRPr="00DB20F6">
              <w:rPr>
                <w:color w:val="000000"/>
                <w:sz w:val="16"/>
              </w:rPr>
              <w:t>2.596,5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897C6D" w14:textId="77777777" w:rsidR="0039673B" w:rsidRPr="00DB20F6" w:rsidRDefault="0039673B" w:rsidP="00C07BA6">
            <w:pPr>
              <w:jc w:val="right"/>
              <w:rPr>
                <w:rFonts w:cstheme="minorHAnsi"/>
                <w:color w:val="000000"/>
                <w:sz w:val="16"/>
                <w:szCs w:val="16"/>
              </w:rPr>
            </w:pPr>
            <w:r w:rsidRPr="00DB20F6">
              <w:rPr>
                <w:color w:val="000000"/>
                <w:sz w:val="16"/>
              </w:rPr>
              <w:t>1.298,7</w:t>
            </w:r>
          </w:p>
        </w:tc>
        <w:tc>
          <w:tcPr>
            <w:tcW w:w="639" w:type="dxa"/>
            <w:tcBorders>
              <w:top w:val="nil"/>
              <w:left w:val="nil"/>
              <w:bottom w:val="single" w:sz="4" w:space="0" w:color="FFFFFF" w:themeColor="background1"/>
              <w:right w:val="nil"/>
            </w:tcBorders>
            <w:shd w:val="clear" w:color="auto" w:fill="auto"/>
            <w:noWrap/>
            <w:vAlign w:val="bottom"/>
            <w:hideMark/>
          </w:tcPr>
          <w:p w14:paraId="3E771FCA" w14:textId="77777777" w:rsidR="0039673B" w:rsidRPr="00DB20F6" w:rsidRDefault="0039673B" w:rsidP="00C07BA6">
            <w:pPr>
              <w:jc w:val="right"/>
              <w:rPr>
                <w:rFonts w:cstheme="minorHAnsi"/>
                <w:color w:val="000000"/>
                <w:sz w:val="16"/>
                <w:szCs w:val="16"/>
              </w:rPr>
            </w:pPr>
            <w:r w:rsidRPr="00DB20F6">
              <w:rPr>
                <w:color w:val="000000"/>
                <w:sz w:val="16"/>
              </w:rPr>
              <w:t>-50,0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B0B5914" w14:textId="77777777" w:rsidR="0039673B" w:rsidRPr="00DB20F6" w:rsidRDefault="0039673B" w:rsidP="00C07BA6">
            <w:pPr>
              <w:jc w:val="right"/>
              <w:rPr>
                <w:rFonts w:cstheme="minorHAnsi"/>
                <w:color w:val="000000"/>
                <w:sz w:val="16"/>
                <w:szCs w:val="16"/>
              </w:rPr>
            </w:pPr>
            <w:r w:rsidRPr="00DB20F6">
              <w:rPr>
                <w:color w:val="000000"/>
                <w:sz w:val="16"/>
              </w:rPr>
              <w:t>1.649,6</w:t>
            </w:r>
          </w:p>
        </w:tc>
      </w:tr>
      <w:tr w:rsidR="0039673B" w:rsidRPr="00DB20F6" w14:paraId="3BB831B8"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314149F8" w14:textId="77777777" w:rsidR="0039673B" w:rsidRPr="00DB20F6" w:rsidRDefault="0039673B" w:rsidP="00C07BA6">
            <w:pPr>
              <w:rPr>
                <w:rFonts w:cstheme="minorHAnsi"/>
                <w:color w:val="000000"/>
                <w:sz w:val="16"/>
                <w:szCs w:val="16"/>
              </w:rPr>
            </w:pPr>
            <w:r w:rsidRPr="00DB20F6">
              <w:rPr>
                <w:color w:val="000000"/>
                <w:sz w:val="16"/>
              </w:rPr>
              <w:t>Australie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0BF760D"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C20AB16" w14:textId="77777777" w:rsidR="0039673B" w:rsidRPr="00DB20F6" w:rsidRDefault="0039673B" w:rsidP="00C07BA6">
            <w:pPr>
              <w:jc w:val="right"/>
              <w:rPr>
                <w:rFonts w:cstheme="minorHAnsi"/>
                <w:color w:val="000000"/>
                <w:sz w:val="16"/>
                <w:szCs w:val="16"/>
              </w:rPr>
            </w:pPr>
            <w:r w:rsidRPr="00DB20F6">
              <w:rPr>
                <w:color w:val="000000"/>
                <w:sz w:val="16"/>
              </w:rPr>
              <w:t>17,4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C504714" w14:textId="77777777" w:rsidR="0039673B" w:rsidRPr="00DB20F6" w:rsidRDefault="0039673B" w:rsidP="00C07BA6">
            <w:pPr>
              <w:jc w:val="right"/>
              <w:rPr>
                <w:rFonts w:cstheme="minorHAnsi"/>
                <w:color w:val="000000"/>
                <w:sz w:val="16"/>
                <w:szCs w:val="16"/>
              </w:rPr>
            </w:pPr>
            <w:r w:rsidRPr="00DB20F6">
              <w:rPr>
                <w:color w:val="000000"/>
                <w:sz w:val="16"/>
              </w:rPr>
              <w:t>148,3</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EC3AD2C" w14:textId="77777777" w:rsidR="0039673B" w:rsidRPr="00DB20F6" w:rsidRDefault="0039673B" w:rsidP="00C07BA6">
            <w:pPr>
              <w:jc w:val="right"/>
              <w:rPr>
                <w:rFonts w:cstheme="minorHAnsi"/>
                <w:color w:val="000000"/>
                <w:sz w:val="16"/>
                <w:szCs w:val="16"/>
              </w:rPr>
            </w:pPr>
            <w:r w:rsidRPr="00DB20F6">
              <w:rPr>
                <w:color w:val="000000"/>
                <w:sz w:val="16"/>
              </w:rPr>
              <w:t>750,4</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D741D4"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0561D8" w14:textId="77777777" w:rsidR="0039673B" w:rsidRPr="00DB20F6" w:rsidRDefault="0039673B" w:rsidP="00C07BA6">
            <w:pPr>
              <w:jc w:val="right"/>
              <w:rPr>
                <w:rFonts w:cstheme="minorHAnsi"/>
                <w:color w:val="000000"/>
                <w:sz w:val="16"/>
                <w:szCs w:val="16"/>
              </w:rPr>
            </w:pPr>
            <w:r w:rsidRPr="00DB20F6">
              <w:rPr>
                <w:color w:val="000000"/>
                <w:sz w:val="16"/>
              </w:rPr>
              <w:t>3.599,2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8770CF" w14:textId="77777777" w:rsidR="0039673B" w:rsidRPr="00DB20F6" w:rsidRDefault="0039673B" w:rsidP="00C07BA6">
            <w:pPr>
              <w:jc w:val="right"/>
              <w:rPr>
                <w:rFonts w:cstheme="minorHAnsi"/>
                <w:color w:val="000000"/>
                <w:sz w:val="16"/>
                <w:szCs w:val="16"/>
              </w:rPr>
            </w:pPr>
            <w:r w:rsidRPr="00DB20F6">
              <w:rPr>
                <w:color w:val="000000"/>
                <w:sz w:val="16"/>
              </w:rPr>
              <w:t>1.451,8</w:t>
            </w:r>
          </w:p>
        </w:tc>
        <w:tc>
          <w:tcPr>
            <w:tcW w:w="639" w:type="dxa"/>
            <w:tcBorders>
              <w:top w:val="nil"/>
              <w:left w:val="nil"/>
              <w:bottom w:val="single" w:sz="4" w:space="0" w:color="FFFFFF" w:themeColor="background1"/>
              <w:right w:val="nil"/>
            </w:tcBorders>
            <w:shd w:val="clear" w:color="auto" w:fill="auto"/>
            <w:noWrap/>
            <w:vAlign w:val="bottom"/>
            <w:hideMark/>
          </w:tcPr>
          <w:p w14:paraId="4FFFB121" w14:textId="77777777" w:rsidR="0039673B" w:rsidRPr="00DB20F6" w:rsidRDefault="0039673B" w:rsidP="00C07BA6">
            <w:pPr>
              <w:jc w:val="right"/>
              <w:rPr>
                <w:rFonts w:cstheme="minorHAnsi"/>
                <w:color w:val="000000"/>
                <w:sz w:val="16"/>
                <w:szCs w:val="16"/>
              </w:rPr>
            </w:pPr>
            <w:r w:rsidRPr="00DB20F6">
              <w:rPr>
                <w:color w:val="000000"/>
                <w:sz w:val="16"/>
              </w:rPr>
              <w:t>-59,7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F3B299D" w14:textId="77777777" w:rsidR="0039673B" w:rsidRPr="00DB20F6" w:rsidRDefault="0039673B" w:rsidP="00C07BA6">
            <w:pPr>
              <w:jc w:val="right"/>
              <w:rPr>
                <w:rFonts w:cstheme="minorHAnsi"/>
                <w:color w:val="000000"/>
                <w:sz w:val="16"/>
                <w:szCs w:val="16"/>
              </w:rPr>
            </w:pPr>
            <w:r w:rsidRPr="00DB20F6">
              <w:rPr>
                <w:color w:val="000000"/>
                <w:sz w:val="16"/>
              </w:rPr>
              <w:t>979,2</w:t>
            </w:r>
          </w:p>
        </w:tc>
      </w:tr>
      <w:tr w:rsidR="0039673B" w:rsidRPr="00DB20F6" w14:paraId="0ADCDA6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245836D6" w14:textId="77777777" w:rsidR="0039673B" w:rsidRPr="00DB20F6" w:rsidRDefault="0039673B" w:rsidP="00C07BA6">
            <w:pPr>
              <w:rPr>
                <w:rFonts w:cstheme="minorHAnsi"/>
                <w:color w:val="000000"/>
                <w:sz w:val="16"/>
                <w:szCs w:val="16"/>
              </w:rPr>
            </w:pPr>
            <w:r w:rsidRPr="00DB20F6">
              <w:rPr>
                <w:color w:val="000000"/>
                <w:sz w:val="16"/>
              </w:rPr>
              <w:t>Israël</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73C8529"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7CD526F" w14:textId="77777777" w:rsidR="0039673B" w:rsidRPr="00DB20F6" w:rsidRDefault="0039673B" w:rsidP="00C07BA6">
            <w:pPr>
              <w:jc w:val="right"/>
              <w:rPr>
                <w:rFonts w:cstheme="minorHAnsi"/>
                <w:color w:val="000000"/>
                <w:sz w:val="16"/>
                <w:szCs w:val="16"/>
              </w:rPr>
            </w:pPr>
            <w:r w:rsidRPr="00DB20F6">
              <w:rPr>
                <w:color w:val="000000"/>
                <w:sz w:val="16"/>
              </w:rPr>
              <w:t>3.693,0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AE02C50" w14:textId="77777777" w:rsidR="0039673B" w:rsidRPr="00DB20F6" w:rsidRDefault="0039673B" w:rsidP="00C07BA6">
            <w:pPr>
              <w:jc w:val="right"/>
              <w:rPr>
                <w:rFonts w:cstheme="minorHAnsi"/>
                <w:color w:val="000000"/>
                <w:sz w:val="16"/>
                <w:szCs w:val="16"/>
              </w:rPr>
            </w:pPr>
            <w:r w:rsidRPr="00DB20F6">
              <w:rPr>
                <w:color w:val="000000"/>
                <w:sz w:val="16"/>
              </w:rPr>
              <w:t>3.355,9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4510D78C" w14:textId="77777777" w:rsidR="0039673B" w:rsidRPr="00DB20F6" w:rsidRDefault="0039673B" w:rsidP="00C07BA6">
            <w:pPr>
              <w:jc w:val="right"/>
              <w:rPr>
                <w:rFonts w:cstheme="minorHAnsi"/>
                <w:color w:val="000000"/>
                <w:sz w:val="16"/>
                <w:szCs w:val="16"/>
              </w:rPr>
            </w:pPr>
            <w:r w:rsidRPr="00DB20F6">
              <w:rPr>
                <w:color w:val="000000"/>
                <w:sz w:val="16"/>
              </w:rPr>
              <w:t>-9,1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29F193" w14:textId="77777777" w:rsidR="0039673B" w:rsidRPr="00DB20F6" w:rsidRDefault="0039673B" w:rsidP="00C07BA6">
            <w:pPr>
              <w:jc w:val="right"/>
              <w:rPr>
                <w:rFonts w:cstheme="minorHAnsi"/>
                <w:color w:val="000000"/>
                <w:sz w:val="16"/>
                <w:szCs w:val="16"/>
              </w:rPr>
            </w:pPr>
            <w:r w:rsidRPr="00DB20F6">
              <w:rPr>
                <w:color w:val="000000"/>
                <w:sz w:val="16"/>
              </w:rPr>
              <w:t>0,5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255478" w14:textId="77777777" w:rsidR="0039673B" w:rsidRPr="00DB20F6" w:rsidRDefault="0039673B" w:rsidP="00C07BA6">
            <w:pPr>
              <w:jc w:val="right"/>
              <w:rPr>
                <w:rFonts w:cstheme="minorHAnsi"/>
                <w:color w:val="000000"/>
                <w:sz w:val="16"/>
                <w:szCs w:val="16"/>
              </w:rPr>
            </w:pPr>
            <w:r w:rsidRPr="00DB20F6">
              <w:rPr>
                <w:color w:val="000000"/>
                <w:sz w:val="16"/>
              </w:rPr>
              <w:t>2.375,9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263EAF" w14:textId="77777777" w:rsidR="0039673B" w:rsidRPr="00DB20F6" w:rsidRDefault="0039673B" w:rsidP="00C07BA6">
            <w:pPr>
              <w:jc w:val="right"/>
              <w:rPr>
                <w:rFonts w:cstheme="minorHAnsi"/>
                <w:color w:val="000000"/>
                <w:sz w:val="16"/>
                <w:szCs w:val="16"/>
              </w:rPr>
            </w:pPr>
            <w:r w:rsidRPr="00DB20F6">
              <w:rPr>
                <w:color w:val="000000"/>
                <w:sz w:val="16"/>
              </w:rPr>
              <w:t>4.389,7</w:t>
            </w:r>
          </w:p>
        </w:tc>
        <w:tc>
          <w:tcPr>
            <w:tcW w:w="639" w:type="dxa"/>
            <w:tcBorders>
              <w:top w:val="nil"/>
              <w:left w:val="nil"/>
              <w:bottom w:val="single" w:sz="4" w:space="0" w:color="FFFFFF" w:themeColor="background1"/>
              <w:right w:val="nil"/>
            </w:tcBorders>
            <w:shd w:val="clear" w:color="auto" w:fill="auto"/>
            <w:noWrap/>
            <w:vAlign w:val="bottom"/>
            <w:hideMark/>
          </w:tcPr>
          <w:p w14:paraId="5B3F972A" w14:textId="77777777" w:rsidR="0039673B" w:rsidRPr="00DB20F6" w:rsidRDefault="0039673B" w:rsidP="00C07BA6">
            <w:pPr>
              <w:jc w:val="right"/>
              <w:rPr>
                <w:rFonts w:cstheme="minorHAnsi"/>
                <w:color w:val="000000"/>
                <w:sz w:val="16"/>
                <w:szCs w:val="16"/>
              </w:rPr>
            </w:pPr>
            <w:r w:rsidRPr="00DB20F6">
              <w:rPr>
                <w:color w:val="000000"/>
                <w:sz w:val="16"/>
              </w:rPr>
              <w:t>84,8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1970D10" w14:textId="77777777" w:rsidR="0039673B" w:rsidRPr="00DB20F6" w:rsidRDefault="0039673B" w:rsidP="00C07BA6">
            <w:pPr>
              <w:jc w:val="right"/>
              <w:rPr>
                <w:rFonts w:cstheme="minorHAnsi"/>
                <w:color w:val="000000"/>
                <w:sz w:val="16"/>
                <w:szCs w:val="16"/>
              </w:rPr>
            </w:pPr>
            <w:r w:rsidRPr="00DB20F6">
              <w:rPr>
                <w:color w:val="000000"/>
                <w:sz w:val="16"/>
              </w:rPr>
              <w:t>130,8</w:t>
            </w:r>
          </w:p>
        </w:tc>
      </w:tr>
      <w:tr w:rsidR="0039673B" w:rsidRPr="00DB20F6" w14:paraId="7EECFBA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5B2A496" w14:textId="77777777" w:rsidR="0039673B" w:rsidRPr="00DB20F6" w:rsidRDefault="0039673B" w:rsidP="00C07BA6">
            <w:pPr>
              <w:rPr>
                <w:rFonts w:cstheme="minorHAnsi"/>
                <w:color w:val="000000"/>
                <w:sz w:val="16"/>
                <w:szCs w:val="16"/>
              </w:rPr>
            </w:pPr>
            <w:r w:rsidRPr="00DB20F6">
              <w:rPr>
                <w:color w:val="000000"/>
                <w:sz w:val="16"/>
              </w:rPr>
              <w:t>Singapour</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160F72B"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F6FCF2" w14:textId="77777777" w:rsidR="0039673B" w:rsidRPr="00DB20F6" w:rsidRDefault="0039673B" w:rsidP="00C07BA6">
            <w:pPr>
              <w:jc w:val="right"/>
              <w:rPr>
                <w:rFonts w:cstheme="minorHAnsi"/>
                <w:color w:val="000000"/>
                <w:sz w:val="16"/>
                <w:szCs w:val="16"/>
              </w:rPr>
            </w:pPr>
            <w:r w:rsidRPr="00DB20F6">
              <w:rPr>
                <w:color w:val="000000"/>
                <w:sz w:val="16"/>
              </w:rPr>
              <w:t>0,8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529EF8" w14:textId="77777777" w:rsidR="0039673B" w:rsidRPr="00DB20F6" w:rsidRDefault="0039673B" w:rsidP="00C07BA6">
            <w:pPr>
              <w:jc w:val="right"/>
              <w:rPr>
                <w:rFonts w:cstheme="minorHAnsi"/>
                <w:color w:val="000000"/>
                <w:sz w:val="16"/>
                <w:szCs w:val="16"/>
              </w:rPr>
            </w:pPr>
            <w:r w:rsidRPr="00DB20F6">
              <w:rPr>
                <w:color w:val="000000"/>
                <w:sz w:val="16"/>
              </w:rPr>
              <w:t>87,6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9A93568" w14:textId="77777777" w:rsidR="0039673B" w:rsidRPr="00DB20F6" w:rsidRDefault="0039673B" w:rsidP="00C07BA6">
            <w:pPr>
              <w:jc w:val="right"/>
              <w:rPr>
                <w:rFonts w:cstheme="minorHAnsi"/>
                <w:color w:val="000000"/>
                <w:sz w:val="16"/>
                <w:szCs w:val="16"/>
              </w:rPr>
            </w:pPr>
            <w:r w:rsidRPr="00DB20F6">
              <w:rPr>
                <w:color w:val="000000"/>
                <w:sz w:val="16"/>
              </w:rPr>
              <w:t>10.934,0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72C227"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8F42A4" w14:textId="77777777" w:rsidR="0039673B" w:rsidRPr="00DB20F6" w:rsidRDefault="0039673B" w:rsidP="00C07BA6">
            <w:pPr>
              <w:jc w:val="right"/>
              <w:rPr>
                <w:rFonts w:cstheme="minorHAnsi"/>
                <w:color w:val="000000"/>
                <w:sz w:val="16"/>
                <w:szCs w:val="16"/>
              </w:rPr>
            </w:pPr>
            <w:r w:rsidRPr="00DB20F6">
              <w:rPr>
                <w:color w:val="000000"/>
                <w:sz w:val="16"/>
              </w:rPr>
              <w:t>2.002,4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FC3357" w14:textId="77777777" w:rsidR="0039673B" w:rsidRPr="00DB20F6" w:rsidRDefault="0039673B" w:rsidP="00C07BA6">
            <w:pPr>
              <w:jc w:val="right"/>
              <w:rPr>
                <w:rFonts w:cstheme="minorHAnsi"/>
                <w:color w:val="000000"/>
                <w:sz w:val="16"/>
                <w:szCs w:val="16"/>
              </w:rPr>
            </w:pPr>
            <w:r w:rsidRPr="00DB20F6">
              <w:rPr>
                <w:color w:val="000000"/>
                <w:sz w:val="16"/>
              </w:rPr>
              <w:t>471,2</w:t>
            </w:r>
          </w:p>
        </w:tc>
        <w:tc>
          <w:tcPr>
            <w:tcW w:w="639" w:type="dxa"/>
            <w:tcBorders>
              <w:top w:val="nil"/>
              <w:left w:val="nil"/>
              <w:bottom w:val="single" w:sz="4" w:space="0" w:color="FFFFFF" w:themeColor="background1"/>
              <w:right w:val="nil"/>
            </w:tcBorders>
            <w:shd w:val="clear" w:color="auto" w:fill="auto"/>
            <w:noWrap/>
            <w:vAlign w:val="bottom"/>
            <w:hideMark/>
          </w:tcPr>
          <w:p w14:paraId="5C4A7F6C" w14:textId="77777777" w:rsidR="0039673B" w:rsidRPr="00DB20F6" w:rsidRDefault="0039673B" w:rsidP="00C07BA6">
            <w:pPr>
              <w:jc w:val="right"/>
              <w:rPr>
                <w:rFonts w:cstheme="minorHAnsi"/>
                <w:color w:val="000000"/>
                <w:sz w:val="16"/>
                <w:szCs w:val="16"/>
              </w:rPr>
            </w:pPr>
            <w:r w:rsidRPr="00DB20F6">
              <w:rPr>
                <w:color w:val="000000"/>
                <w:sz w:val="16"/>
              </w:rPr>
              <w:t>-76,5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10744F3" w14:textId="77777777" w:rsidR="0039673B" w:rsidRPr="00DB20F6" w:rsidRDefault="0039673B" w:rsidP="00C07BA6">
            <w:pPr>
              <w:jc w:val="right"/>
              <w:rPr>
                <w:rFonts w:cstheme="minorHAnsi"/>
                <w:color w:val="000000"/>
                <w:sz w:val="16"/>
                <w:szCs w:val="16"/>
              </w:rPr>
            </w:pPr>
            <w:r w:rsidRPr="00DB20F6">
              <w:rPr>
                <w:color w:val="000000"/>
                <w:sz w:val="16"/>
              </w:rPr>
              <w:t>537,9</w:t>
            </w:r>
          </w:p>
        </w:tc>
      </w:tr>
      <w:tr w:rsidR="0039673B" w:rsidRPr="00DB20F6" w14:paraId="505EF2F7"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47E827D" w14:textId="77777777" w:rsidR="0039673B" w:rsidRPr="00DB20F6" w:rsidRDefault="0039673B" w:rsidP="00C07BA6">
            <w:pPr>
              <w:rPr>
                <w:rFonts w:cstheme="minorHAnsi"/>
                <w:color w:val="000000"/>
                <w:sz w:val="16"/>
                <w:szCs w:val="16"/>
              </w:rPr>
            </w:pPr>
            <w:r w:rsidRPr="00DB20F6">
              <w:rPr>
                <w:color w:val="000000"/>
                <w:sz w:val="16"/>
              </w:rPr>
              <w:t>Chine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460F35D" w14:textId="77777777" w:rsidR="0039673B" w:rsidRPr="00DB20F6" w:rsidRDefault="0039673B" w:rsidP="00C07BA6">
            <w:pPr>
              <w:jc w:val="right"/>
              <w:rPr>
                <w:rFonts w:cstheme="minorHAnsi"/>
                <w:color w:val="000000"/>
                <w:sz w:val="16"/>
                <w:szCs w:val="16"/>
              </w:rPr>
            </w:pPr>
            <w:r w:rsidRPr="00DB20F6">
              <w:rPr>
                <w:color w:val="000000"/>
                <w:sz w:val="16"/>
              </w:rPr>
              <w:t>24,8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651D95" w14:textId="77777777" w:rsidR="0039673B" w:rsidRPr="00DB20F6" w:rsidRDefault="0039673B" w:rsidP="00C07BA6">
            <w:pPr>
              <w:jc w:val="right"/>
              <w:rPr>
                <w:rFonts w:cstheme="minorHAnsi"/>
                <w:color w:val="000000"/>
                <w:sz w:val="16"/>
                <w:szCs w:val="16"/>
              </w:rPr>
            </w:pPr>
            <w:r w:rsidRPr="00DB20F6">
              <w:rPr>
                <w:color w:val="000000"/>
                <w:sz w:val="16"/>
              </w:rPr>
              <w:t>435.104,5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2CE56D" w14:textId="77777777" w:rsidR="0039673B" w:rsidRPr="00DB20F6" w:rsidRDefault="0039673B" w:rsidP="00C07BA6">
            <w:pPr>
              <w:jc w:val="right"/>
              <w:rPr>
                <w:rFonts w:cstheme="minorHAnsi"/>
                <w:color w:val="000000"/>
                <w:sz w:val="16"/>
                <w:szCs w:val="16"/>
              </w:rPr>
            </w:pPr>
            <w:r w:rsidRPr="00DB20F6">
              <w:rPr>
                <w:color w:val="000000"/>
                <w:sz w:val="16"/>
              </w:rPr>
              <w:t>302.056,0</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56A49A8" w14:textId="77777777" w:rsidR="0039673B" w:rsidRPr="00DB20F6" w:rsidRDefault="0039673B" w:rsidP="00C07BA6">
            <w:pPr>
              <w:jc w:val="right"/>
              <w:rPr>
                <w:rFonts w:cstheme="minorHAnsi"/>
                <w:color w:val="000000"/>
                <w:sz w:val="16"/>
                <w:szCs w:val="16"/>
              </w:rPr>
            </w:pPr>
            <w:r w:rsidRPr="00DB20F6">
              <w:rPr>
                <w:color w:val="000000"/>
                <w:sz w:val="16"/>
              </w:rPr>
              <w:t>-30,6</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98A1AE"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7F3633" w14:textId="77777777" w:rsidR="0039673B" w:rsidRPr="00DB20F6" w:rsidRDefault="0039673B" w:rsidP="00C07BA6">
            <w:pPr>
              <w:jc w:val="right"/>
              <w:rPr>
                <w:rFonts w:cstheme="minorHAnsi"/>
                <w:color w:val="000000"/>
                <w:sz w:val="16"/>
                <w:szCs w:val="16"/>
              </w:rPr>
            </w:pPr>
            <w:r w:rsidRPr="00DB20F6">
              <w:rPr>
                <w:color w:val="000000"/>
                <w:sz w:val="16"/>
              </w:rPr>
              <w:t>1.646,3</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4F1FE4" w14:textId="77777777" w:rsidR="0039673B" w:rsidRPr="00DB20F6" w:rsidRDefault="0039673B" w:rsidP="00C07BA6">
            <w:pPr>
              <w:jc w:val="right"/>
              <w:rPr>
                <w:rFonts w:cstheme="minorHAnsi"/>
                <w:color w:val="000000"/>
                <w:sz w:val="16"/>
                <w:szCs w:val="16"/>
              </w:rPr>
            </w:pPr>
            <w:r w:rsidRPr="00DB20F6">
              <w:rPr>
                <w:color w:val="000000"/>
                <w:sz w:val="16"/>
              </w:rPr>
              <w:t>1.736,7</w:t>
            </w:r>
          </w:p>
        </w:tc>
        <w:tc>
          <w:tcPr>
            <w:tcW w:w="639" w:type="dxa"/>
            <w:tcBorders>
              <w:top w:val="nil"/>
              <w:left w:val="nil"/>
              <w:bottom w:val="single" w:sz="4" w:space="0" w:color="FFFFFF" w:themeColor="background1"/>
              <w:right w:val="nil"/>
            </w:tcBorders>
            <w:shd w:val="clear" w:color="auto" w:fill="auto"/>
            <w:noWrap/>
            <w:vAlign w:val="bottom"/>
            <w:hideMark/>
          </w:tcPr>
          <w:p w14:paraId="0C872DBF" w14:textId="77777777" w:rsidR="0039673B" w:rsidRPr="00DB20F6" w:rsidRDefault="0039673B" w:rsidP="00C07BA6">
            <w:pPr>
              <w:jc w:val="right"/>
              <w:rPr>
                <w:rFonts w:cstheme="minorHAnsi"/>
                <w:color w:val="000000"/>
                <w:sz w:val="16"/>
                <w:szCs w:val="16"/>
              </w:rPr>
            </w:pPr>
            <w:r w:rsidRPr="00DB20F6">
              <w:rPr>
                <w:color w:val="000000"/>
                <w:sz w:val="16"/>
              </w:rPr>
              <w:t>5,5</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8F2A98A" w14:textId="77777777" w:rsidR="0039673B" w:rsidRPr="00DB20F6" w:rsidRDefault="0039673B" w:rsidP="00C07BA6">
            <w:pPr>
              <w:jc w:val="right"/>
              <w:rPr>
                <w:rFonts w:cstheme="minorHAnsi"/>
                <w:color w:val="000000"/>
                <w:sz w:val="16"/>
                <w:szCs w:val="16"/>
              </w:rPr>
            </w:pPr>
            <w:r w:rsidRPr="00DB20F6">
              <w:rPr>
                <w:color w:val="000000"/>
                <w:sz w:val="16"/>
              </w:rPr>
              <w:t>0,6</w:t>
            </w:r>
          </w:p>
        </w:tc>
      </w:tr>
      <w:tr w:rsidR="0039673B" w:rsidRPr="00DB20F6" w14:paraId="4B25ED88"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659BD3C8" w14:textId="77777777" w:rsidR="0039673B" w:rsidRPr="00DB20F6" w:rsidRDefault="0039673B" w:rsidP="00C07BA6">
            <w:pPr>
              <w:rPr>
                <w:rFonts w:cstheme="minorHAnsi"/>
                <w:color w:val="000000"/>
                <w:sz w:val="16"/>
                <w:szCs w:val="16"/>
              </w:rPr>
            </w:pPr>
            <w:r w:rsidRPr="00DB20F6">
              <w:rPr>
                <w:color w:val="000000"/>
                <w:sz w:val="16"/>
              </w:rPr>
              <w:t>Hong Kong</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61888A2"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3E74B0" w14:textId="77777777" w:rsidR="0039673B" w:rsidRPr="00DB20F6" w:rsidRDefault="0039673B" w:rsidP="00C07BA6">
            <w:pPr>
              <w:jc w:val="right"/>
              <w:rPr>
                <w:rFonts w:cstheme="minorHAnsi"/>
                <w:color w:val="000000"/>
                <w:sz w:val="16"/>
                <w:szCs w:val="16"/>
              </w:rPr>
            </w:pPr>
            <w:r w:rsidRPr="00DB20F6">
              <w:rPr>
                <w:color w:val="000000"/>
                <w:sz w:val="16"/>
              </w:rPr>
              <w:t>602,4</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50F4280" w14:textId="77777777" w:rsidR="0039673B" w:rsidRPr="00DB20F6" w:rsidRDefault="0039673B" w:rsidP="00C07BA6">
            <w:pPr>
              <w:jc w:val="right"/>
              <w:rPr>
                <w:rFonts w:cstheme="minorHAnsi"/>
                <w:color w:val="000000"/>
                <w:sz w:val="16"/>
                <w:szCs w:val="16"/>
              </w:rPr>
            </w:pPr>
            <w:r w:rsidRPr="00DB20F6">
              <w:rPr>
                <w:color w:val="000000"/>
                <w:sz w:val="16"/>
              </w:rPr>
              <w:t>692,5</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5771C0A" w14:textId="77777777" w:rsidR="0039673B" w:rsidRPr="00DB20F6" w:rsidRDefault="0039673B" w:rsidP="00C07BA6">
            <w:pPr>
              <w:jc w:val="right"/>
              <w:rPr>
                <w:rFonts w:cstheme="minorHAnsi"/>
                <w:color w:val="000000"/>
                <w:sz w:val="16"/>
                <w:szCs w:val="16"/>
              </w:rPr>
            </w:pPr>
            <w:r w:rsidRPr="00DB20F6">
              <w:rPr>
                <w:color w:val="000000"/>
                <w:sz w:val="16"/>
              </w:rPr>
              <w:t>15,0</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7B8912"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463E6D" w14:textId="77777777" w:rsidR="0039673B" w:rsidRPr="00DB20F6" w:rsidRDefault="0039673B" w:rsidP="00C07BA6">
            <w:pPr>
              <w:jc w:val="right"/>
              <w:rPr>
                <w:rFonts w:cstheme="minorHAnsi"/>
                <w:color w:val="000000"/>
                <w:sz w:val="16"/>
                <w:szCs w:val="16"/>
              </w:rPr>
            </w:pPr>
            <w:r w:rsidRPr="00DB20F6">
              <w:rPr>
                <w:color w:val="000000"/>
                <w:sz w:val="16"/>
              </w:rPr>
              <w:t>583,8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D588A2" w14:textId="77777777" w:rsidR="0039673B" w:rsidRPr="00DB20F6" w:rsidRDefault="0039673B" w:rsidP="00C07BA6">
            <w:pPr>
              <w:jc w:val="right"/>
              <w:rPr>
                <w:rFonts w:cstheme="minorHAnsi"/>
                <w:color w:val="000000"/>
                <w:sz w:val="16"/>
                <w:szCs w:val="16"/>
              </w:rPr>
            </w:pPr>
            <w:r w:rsidRPr="00DB20F6">
              <w:rPr>
                <w:color w:val="000000"/>
                <w:sz w:val="16"/>
              </w:rPr>
              <w:t>822,7</w:t>
            </w:r>
          </w:p>
        </w:tc>
        <w:tc>
          <w:tcPr>
            <w:tcW w:w="639" w:type="dxa"/>
            <w:tcBorders>
              <w:top w:val="nil"/>
              <w:left w:val="nil"/>
              <w:bottom w:val="single" w:sz="4" w:space="0" w:color="FFFFFF" w:themeColor="background1"/>
              <w:right w:val="nil"/>
            </w:tcBorders>
            <w:shd w:val="clear" w:color="auto" w:fill="auto"/>
            <w:noWrap/>
            <w:vAlign w:val="bottom"/>
            <w:hideMark/>
          </w:tcPr>
          <w:p w14:paraId="5EE768B2" w14:textId="77777777" w:rsidR="0039673B" w:rsidRPr="00DB20F6" w:rsidRDefault="0039673B" w:rsidP="00C07BA6">
            <w:pPr>
              <w:jc w:val="right"/>
              <w:rPr>
                <w:rFonts w:cstheme="minorHAnsi"/>
                <w:color w:val="000000"/>
                <w:sz w:val="16"/>
                <w:szCs w:val="16"/>
              </w:rPr>
            </w:pPr>
            <w:r w:rsidRPr="00DB20F6">
              <w:rPr>
                <w:color w:val="000000"/>
                <w:sz w:val="16"/>
              </w:rPr>
              <w:t>40,9</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EA85731" w14:textId="77777777" w:rsidR="0039673B" w:rsidRPr="00DB20F6" w:rsidRDefault="0039673B" w:rsidP="00C07BA6">
            <w:pPr>
              <w:jc w:val="right"/>
              <w:rPr>
                <w:rFonts w:cstheme="minorHAnsi"/>
                <w:color w:val="000000"/>
                <w:sz w:val="16"/>
                <w:szCs w:val="16"/>
              </w:rPr>
            </w:pPr>
            <w:r w:rsidRPr="00DB20F6">
              <w:rPr>
                <w:color w:val="000000"/>
                <w:sz w:val="16"/>
              </w:rPr>
              <w:t>118,8</w:t>
            </w:r>
          </w:p>
        </w:tc>
      </w:tr>
      <w:tr w:rsidR="0039673B" w:rsidRPr="00DB20F6" w14:paraId="7DBD1737"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91668A1" w14:textId="77777777" w:rsidR="0039673B" w:rsidRPr="00DB20F6" w:rsidRDefault="0039673B" w:rsidP="00C07BA6">
            <w:pPr>
              <w:rPr>
                <w:rFonts w:cstheme="minorHAnsi"/>
                <w:color w:val="000000"/>
                <w:sz w:val="16"/>
                <w:szCs w:val="16"/>
              </w:rPr>
            </w:pPr>
            <w:r w:rsidRPr="00DB20F6">
              <w:rPr>
                <w:color w:val="000000"/>
                <w:sz w:val="16"/>
              </w:rPr>
              <w:t>Turquie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BB8A362" w14:textId="77777777" w:rsidR="0039673B" w:rsidRPr="00DB20F6" w:rsidRDefault="0039673B" w:rsidP="00C07BA6">
            <w:pPr>
              <w:jc w:val="right"/>
              <w:rPr>
                <w:rFonts w:cstheme="minorHAnsi"/>
                <w:color w:val="000000"/>
                <w:sz w:val="16"/>
                <w:szCs w:val="16"/>
              </w:rPr>
            </w:pPr>
            <w:r w:rsidRPr="00DB20F6">
              <w:rPr>
                <w:color w:val="000000"/>
                <w:sz w:val="16"/>
              </w:rPr>
              <w:t>3,8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3560B79A" w14:textId="77777777" w:rsidR="0039673B" w:rsidRPr="00DB20F6" w:rsidRDefault="0039673B" w:rsidP="00C07BA6">
            <w:pPr>
              <w:jc w:val="right"/>
              <w:rPr>
                <w:rFonts w:cstheme="minorHAnsi"/>
                <w:color w:val="000000"/>
                <w:sz w:val="16"/>
                <w:szCs w:val="16"/>
              </w:rPr>
            </w:pPr>
            <w:r w:rsidRPr="00DB20F6">
              <w:rPr>
                <w:color w:val="000000"/>
                <w:sz w:val="16"/>
              </w:rPr>
              <w:t>53.455,8</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A704FFB" w14:textId="77777777" w:rsidR="0039673B" w:rsidRPr="00DB20F6" w:rsidRDefault="0039673B" w:rsidP="00C07BA6">
            <w:pPr>
              <w:jc w:val="right"/>
              <w:rPr>
                <w:rFonts w:cstheme="minorHAnsi"/>
                <w:color w:val="000000"/>
                <w:sz w:val="16"/>
                <w:szCs w:val="16"/>
              </w:rPr>
            </w:pPr>
            <w:r w:rsidRPr="00DB20F6">
              <w:rPr>
                <w:color w:val="000000"/>
                <w:sz w:val="16"/>
              </w:rPr>
              <w:t>46.790,9</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1B94380" w14:textId="77777777" w:rsidR="0039673B" w:rsidRPr="00DB20F6" w:rsidRDefault="0039673B" w:rsidP="00C07BA6">
            <w:pPr>
              <w:jc w:val="right"/>
              <w:rPr>
                <w:rFonts w:cstheme="minorHAnsi"/>
                <w:color w:val="000000"/>
                <w:sz w:val="16"/>
                <w:szCs w:val="16"/>
              </w:rPr>
            </w:pPr>
            <w:r w:rsidRPr="00DB20F6">
              <w:rPr>
                <w:color w:val="000000"/>
                <w:sz w:val="16"/>
              </w:rPr>
              <w:t>-12,5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5F4DE1"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3B9C68" w14:textId="77777777" w:rsidR="0039673B" w:rsidRPr="00DB20F6" w:rsidRDefault="0039673B" w:rsidP="00C07BA6">
            <w:pPr>
              <w:jc w:val="right"/>
              <w:rPr>
                <w:rFonts w:cstheme="minorHAnsi"/>
                <w:color w:val="000000"/>
                <w:sz w:val="16"/>
                <w:szCs w:val="16"/>
              </w:rPr>
            </w:pPr>
            <w:r w:rsidRPr="00DB20F6">
              <w:rPr>
                <w:color w:val="000000"/>
                <w:sz w:val="16"/>
              </w:rPr>
              <w:t>256,7</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EC42A8" w14:textId="77777777" w:rsidR="0039673B" w:rsidRPr="00DB20F6" w:rsidRDefault="0039673B" w:rsidP="00C07BA6">
            <w:pPr>
              <w:jc w:val="right"/>
              <w:rPr>
                <w:rFonts w:cstheme="minorHAnsi"/>
                <w:color w:val="000000"/>
                <w:sz w:val="16"/>
                <w:szCs w:val="16"/>
              </w:rPr>
            </w:pPr>
            <w:r w:rsidRPr="00DB20F6">
              <w:rPr>
                <w:color w:val="000000"/>
                <w:sz w:val="16"/>
              </w:rPr>
              <w:t>230,1</w:t>
            </w:r>
          </w:p>
        </w:tc>
        <w:tc>
          <w:tcPr>
            <w:tcW w:w="639" w:type="dxa"/>
            <w:tcBorders>
              <w:top w:val="nil"/>
              <w:left w:val="nil"/>
              <w:bottom w:val="single" w:sz="4" w:space="0" w:color="FFFFFF" w:themeColor="background1"/>
              <w:right w:val="nil"/>
            </w:tcBorders>
            <w:shd w:val="clear" w:color="auto" w:fill="auto"/>
            <w:noWrap/>
            <w:vAlign w:val="bottom"/>
            <w:hideMark/>
          </w:tcPr>
          <w:p w14:paraId="49C6110E" w14:textId="77777777" w:rsidR="0039673B" w:rsidRPr="00DB20F6" w:rsidRDefault="0039673B" w:rsidP="00C07BA6">
            <w:pPr>
              <w:jc w:val="right"/>
              <w:rPr>
                <w:rFonts w:cstheme="minorHAnsi"/>
                <w:color w:val="000000"/>
                <w:sz w:val="16"/>
                <w:szCs w:val="16"/>
              </w:rPr>
            </w:pPr>
            <w:r w:rsidRPr="00DB20F6">
              <w:rPr>
                <w:color w:val="000000"/>
                <w:sz w:val="16"/>
              </w:rPr>
              <w:t>-10,4</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E8920D3" w14:textId="77777777" w:rsidR="0039673B" w:rsidRPr="00DB20F6" w:rsidRDefault="0039673B" w:rsidP="00C07BA6">
            <w:pPr>
              <w:jc w:val="right"/>
              <w:rPr>
                <w:rFonts w:cstheme="minorHAnsi"/>
                <w:color w:val="000000"/>
                <w:sz w:val="16"/>
                <w:szCs w:val="16"/>
              </w:rPr>
            </w:pPr>
            <w:r w:rsidRPr="00DB20F6">
              <w:rPr>
                <w:color w:val="000000"/>
                <w:sz w:val="16"/>
              </w:rPr>
              <w:t>0,5</w:t>
            </w:r>
          </w:p>
        </w:tc>
      </w:tr>
      <w:tr w:rsidR="0039673B" w:rsidRPr="00DB20F6" w14:paraId="2F475AD4"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A308DA4" w14:textId="77777777" w:rsidR="0039673B" w:rsidRPr="00DB20F6" w:rsidRDefault="0039673B" w:rsidP="00C07BA6">
            <w:pPr>
              <w:rPr>
                <w:rFonts w:cstheme="minorHAnsi"/>
                <w:color w:val="000000"/>
                <w:sz w:val="16"/>
                <w:szCs w:val="16"/>
              </w:rPr>
            </w:pPr>
            <w:r w:rsidRPr="00DB20F6">
              <w:rPr>
                <w:color w:val="000000"/>
                <w:sz w:val="16"/>
              </w:rPr>
              <w:t>Indonésie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3B6C5BD" w14:textId="77777777" w:rsidR="0039673B" w:rsidRPr="00DB20F6" w:rsidRDefault="0039673B" w:rsidP="00C07BA6">
            <w:pPr>
              <w:jc w:val="right"/>
              <w:rPr>
                <w:rFonts w:cstheme="minorHAnsi"/>
                <w:color w:val="000000"/>
                <w:sz w:val="16"/>
                <w:szCs w:val="16"/>
              </w:rPr>
            </w:pPr>
            <w:r w:rsidRPr="00DB20F6">
              <w:rPr>
                <w:color w:val="000000"/>
                <w:sz w:val="16"/>
              </w:rPr>
              <w:t>2,7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5CCB27C" w14:textId="77777777" w:rsidR="0039673B" w:rsidRPr="00DB20F6" w:rsidRDefault="0039673B" w:rsidP="00C07BA6">
            <w:pPr>
              <w:jc w:val="right"/>
              <w:rPr>
                <w:rFonts w:cstheme="minorHAnsi"/>
                <w:color w:val="000000"/>
                <w:sz w:val="16"/>
                <w:szCs w:val="16"/>
              </w:rPr>
            </w:pPr>
            <w:r w:rsidRPr="00DB20F6">
              <w:rPr>
                <w:color w:val="000000"/>
                <w:sz w:val="16"/>
              </w:rPr>
              <w:t>64.636,0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8E81C2E" w14:textId="77777777" w:rsidR="0039673B" w:rsidRPr="00DB20F6" w:rsidRDefault="0039673B" w:rsidP="00C07BA6">
            <w:pPr>
              <w:jc w:val="right"/>
              <w:rPr>
                <w:rFonts w:cstheme="minorHAnsi"/>
                <w:color w:val="000000"/>
                <w:sz w:val="16"/>
                <w:szCs w:val="16"/>
              </w:rPr>
            </w:pPr>
            <w:r w:rsidRPr="00DB20F6">
              <w:rPr>
                <w:color w:val="000000"/>
                <w:sz w:val="16"/>
              </w:rPr>
              <w:t>32.436,7</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B8E0871" w14:textId="77777777" w:rsidR="0039673B" w:rsidRPr="00DB20F6" w:rsidRDefault="0039673B" w:rsidP="00C07BA6">
            <w:pPr>
              <w:jc w:val="right"/>
              <w:rPr>
                <w:rFonts w:cstheme="minorHAnsi"/>
                <w:color w:val="000000"/>
                <w:sz w:val="16"/>
                <w:szCs w:val="16"/>
              </w:rPr>
            </w:pPr>
            <w:r w:rsidRPr="00DB20F6">
              <w:rPr>
                <w:color w:val="000000"/>
                <w:sz w:val="16"/>
              </w:rPr>
              <w:t>-49,8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E6E172"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6398C6" w14:textId="77777777" w:rsidR="0039673B" w:rsidRPr="00DB20F6" w:rsidRDefault="0039673B" w:rsidP="00C07BA6">
            <w:pPr>
              <w:jc w:val="right"/>
              <w:rPr>
                <w:rFonts w:cstheme="minorHAnsi"/>
                <w:color w:val="000000"/>
                <w:sz w:val="16"/>
                <w:szCs w:val="16"/>
              </w:rPr>
            </w:pPr>
            <w:r w:rsidRPr="00DB20F6">
              <w:rPr>
                <w:color w:val="000000"/>
                <w:sz w:val="16"/>
              </w:rPr>
              <w:t>291,8</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E8ACEA" w14:textId="77777777" w:rsidR="0039673B" w:rsidRPr="00DB20F6" w:rsidRDefault="0039673B" w:rsidP="00C07BA6">
            <w:pPr>
              <w:jc w:val="right"/>
              <w:rPr>
                <w:rFonts w:cstheme="minorHAnsi"/>
                <w:color w:val="000000"/>
                <w:sz w:val="16"/>
                <w:szCs w:val="16"/>
              </w:rPr>
            </w:pPr>
            <w:r w:rsidRPr="00DB20F6">
              <w:rPr>
                <w:color w:val="000000"/>
                <w:sz w:val="16"/>
              </w:rPr>
              <w:t>237,5</w:t>
            </w:r>
          </w:p>
        </w:tc>
        <w:tc>
          <w:tcPr>
            <w:tcW w:w="639" w:type="dxa"/>
            <w:tcBorders>
              <w:top w:val="nil"/>
              <w:left w:val="nil"/>
              <w:bottom w:val="single" w:sz="4" w:space="0" w:color="FFFFFF" w:themeColor="background1"/>
              <w:right w:val="nil"/>
            </w:tcBorders>
            <w:shd w:val="clear" w:color="auto" w:fill="auto"/>
            <w:noWrap/>
            <w:vAlign w:val="bottom"/>
            <w:hideMark/>
          </w:tcPr>
          <w:p w14:paraId="323E3D56" w14:textId="77777777" w:rsidR="0039673B" w:rsidRPr="00DB20F6" w:rsidRDefault="0039673B" w:rsidP="00C07BA6">
            <w:pPr>
              <w:jc w:val="right"/>
              <w:rPr>
                <w:rFonts w:cstheme="minorHAnsi"/>
                <w:color w:val="000000"/>
                <w:sz w:val="16"/>
                <w:szCs w:val="16"/>
              </w:rPr>
            </w:pPr>
            <w:r w:rsidRPr="00DB20F6">
              <w:rPr>
                <w:color w:val="000000"/>
                <w:sz w:val="16"/>
              </w:rPr>
              <w:t>-18,6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8C3EC27" w14:textId="77777777" w:rsidR="0039673B" w:rsidRPr="00DB20F6" w:rsidRDefault="0039673B" w:rsidP="00C07BA6">
            <w:pPr>
              <w:jc w:val="right"/>
              <w:rPr>
                <w:rFonts w:cstheme="minorHAnsi"/>
                <w:color w:val="000000"/>
                <w:sz w:val="16"/>
                <w:szCs w:val="16"/>
              </w:rPr>
            </w:pPr>
            <w:r w:rsidRPr="00DB20F6">
              <w:rPr>
                <w:color w:val="000000"/>
                <w:sz w:val="16"/>
              </w:rPr>
              <w:t>0,7</w:t>
            </w:r>
          </w:p>
        </w:tc>
      </w:tr>
      <w:tr w:rsidR="0039673B" w:rsidRPr="00DB20F6" w14:paraId="20D7961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5F743581" w14:textId="77777777" w:rsidR="0039673B" w:rsidRPr="00DB20F6" w:rsidRDefault="0039673B" w:rsidP="00C07BA6">
            <w:pPr>
              <w:rPr>
                <w:rFonts w:cstheme="minorHAnsi"/>
                <w:color w:val="000000"/>
                <w:sz w:val="16"/>
                <w:szCs w:val="16"/>
              </w:rPr>
            </w:pPr>
            <w:r w:rsidRPr="00DB20F6">
              <w:rPr>
                <w:color w:val="000000"/>
                <w:sz w:val="16"/>
              </w:rPr>
              <w:t>Thaïlande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8358270" w14:textId="77777777" w:rsidR="0039673B" w:rsidRPr="00DB20F6" w:rsidRDefault="0039673B" w:rsidP="00C07BA6">
            <w:pPr>
              <w:jc w:val="right"/>
              <w:rPr>
                <w:rFonts w:cstheme="minorHAnsi"/>
                <w:color w:val="000000"/>
                <w:sz w:val="16"/>
                <w:szCs w:val="16"/>
              </w:rPr>
            </w:pPr>
            <w:r w:rsidRPr="00DB20F6">
              <w:rPr>
                <w:color w:val="000000"/>
                <w:sz w:val="16"/>
              </w:rPr>
              <w:t>0,2</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7D9BDBC" w14:textId="77777777" w:rsidR="0039673B" w:rsidRPr="00DB20F6" w:rsidRDefault="0039673B" w:rsidP="00C07BA6">
            <w:pPr>
              <w:jc w:val="right"/>
              <w:rPr>
                <w:rFonts w:cstheme="minorHAnsi"/>
                <w:color w:val="000000"/>
                <w:sz w:val="16"/>
                <w:szCs w:val="16"/>
              </w:rPr>
            </w:pPr>
            <w:r w:rsidRPr="00DB20F6">
              <w:rPr>
                <w:color w:val="000000"/>
                <w:sz w:val="16"/>
              </w:rPr>
              <w:t>5.352,1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7508DDE" w14:textId="77777777" w:rsidR="0039673B" w:rsidRPr="00DB20F6" w:rsidRDefault="0039673B" w:rsidP="00C07BA6">
            <w:pPr>
              <w:jc w:val="right"/>
              <w:rPr>
                <w:rFonts w:cstheme="minorHAnsi"/>
                <w:color w:val="000000"/>
                <w:sz w:val="16"/>
                <w:szCs w:val="16"/>
              </w:rPr>
            </w:pPr>
            <w:r w:rsidRPr="00DB20F6">
              <w:rPr>
                <w:color w:val="000000"/>
                <w:sz w:val="16"/>
              </w:rPr>
              <w:t>2.187,8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785F5CCE" w14:textId="77777777" w:rsidR="0039673B" w:rsidRPr="00DB20F6" w:rsidRDefault="0039673B" w:rsidP="00C07BA6">
            <w:pPr>
              <w:jc w:val="right"/>
              <w:rPr>
                <w:rFonts w:cstheme="minorHAnsi"/>
                <w:color w:val="000000"/>
                <w:sz w:val="16"/>
                <w:szCs w:val="16"/>
              </w:rPr>
            </w:pPr>
            <w:r w:rsidRPr="00DB20F6">
              <w:rPr>
                <w:color w:val="000000"/>
                <w:sz w:val="16"/>
              </w:rPr>
              <w:t>-59,1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783EE5"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11E556" w14:textId="77777777" w:rsidR="0039673B" w:rsidRPr="00DB20F6" w:rsidRDefault="0039673B" w:rsidP="00C07BA6">
            <w:pPr>
              <w:jc w:val="right"/>
              <w:rPr>
                <w:rFonts w:cstheme="minorHAnsi"/>
                <w:color w:val="000000"/>
                <w:sz w:val="16"/>
                <w:szCs w:val="16"/>
              </w:rPr>
            </w:pPr>
            <w:r w:rsidRPr="00DB20F6">
              <w:rPr>
                <w:color w:val="000000"/>
                <w:sz w:val="16"/>
              </w:rPr>
              <w:t>542,4</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97B763" w14:textId="77777777" w:rsidR="0039673B" w:rsidRPr="00DB20F6" w:rsidRDefault="0039673B" w:rsidP="00C07BA6">
            <w:pPr>
              <w:jc w:val="right"/>
              <w:rPr>
                <w:rFonts w:cstheme="minorHAnsi"/>
                <w:color w:val="000000"/>
                <w:sz w:val="16"/>
                <w:szCs w:val="16"/>
              </w:rPr>
            </w:pPr>
            <w:r w:rsidRPr="00DB20F6">
              <w:rPr>
                <w:color w:val="000000"/>
                <w:sz w:val="16"/>
              </w:rPr>
              <w:t>532,5</w:t>
            </w:r>
          </w:p>
        </w:tc>
        <w:tc>
          <w:tcPr>
            <w:tcW w:w="639" w:type="dxa"/>
            <w:tcBorders>
              <w:top w:val="nil"/>
              <w:left w:val="nil"/>
              <w:bottom w:val="single" w:sz="4" w:space="0" w:color="FFFFFF" w:themeColor="background1"/>
              <w:right w:val="nil"/>
            </w:tcBorders>
            <w:shd w:val="clear" w:color="auto" w:fill="auto"/>
            <w:noWrap/>
            <w:vAlign w:val="bottom"/>
            <w:hideMark/>
          </w:tcPr>
          <w:p w14:paraId="6D630BB5" w14:textId="77777777" w:rsidR="0039673B" w:rsidRPr="00DB20F6" w:rsidRDefault="0039673B" w:rsidP="00C07BA6">
            <w:pPr>
              <w:jc w:val="right"/>
              <w:rPr>
                <w:rFonts w:cstheme="minorHAnsi"/>
                <w:color w:val="000000"/>
                <w:sz w:val="16"/>
                <w:szCs w:val="16"/>
              </w:rPr>
            </w:pPr>
            <w:r w:rsidRPr="00DB20F6">
              <w:rPr>
                <w:color w:val="000000"/>
                <w:sz w:val="16"/>
              </w:rPr>
              <w:t>-1,8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BC5082E" w14:textId="77777777" w:rsidR="0039673B" w:rsidRPr="00DB20F6" w:rsidRDefault="0039673B" w:rsidP="00C07BA6">
            <w:pPr>
              <w:jc w:val="right"/>
              <w:rPr>
                <w:rFonts w:cstheme="minorHAnsi"/>
                <w:color w:val="000000"/>
                <w:sz w:val="16"/>
                <w:szCs w:val="16"/>
              </w:rPr>
            </w:pPr>
            <w:r w:rsidRPr="00DB20F6">
              <w:rPr>
                <w:color w:val="000000"/>
                <w:sz w:val="16"/>
              </w:rPr>
              <w:t>24,3</w:t>
            </w:r>
          </w:p>
        </w:tc>
      </w:tr>
      <w:tr w:rsidR="0039673B" w:rsidRPr="00DB20F6" w14:paraId="222A0A02"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09A4DD5A" w14:textId="77777777" w:rsidR="0039673B" w:rsidRPr="00DB20F6" w:rsidRDefault="0039673B" w:rsidP="00C07BA6">
            <w:pPr>
              <w:rPr>
                <w:rFonts w:cstheme="minorHAnsi"/>
                <w:color w:val="000000"/>
                <w:sz w:val="16"/>
                <w:szCs w:val="16"/>
              </w:rPr>
            </w:pPr>
            <w:r w:rsidRPr="00DB20F6">
              <w:rPr>
                <w:color w:val="000000"/>
                <w:sz w:val="16"/>
              </w:rPr>
              <w:t>Taïwan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4CC6AA3"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23B7C0" w14:textId="77777777" w:rsidR="0039673B" w:rsidRPr="00DB20F6" w:rsidRDefault="0039673B" w:rsidP="00C07BA6">
            <w:pPr>
              <w:jc w:val="right"/>
              <w:rPr>
                <w:rFonts w:cstheme="minorHAnsi"/>
                <w:color w:val="000000"/>
                <w:sz w:val="16"/>
                <w:szCs w:val="16"/>
              </w:rPr>
            </w:pPr>
            <w:r w:rsidRPr="00DB20F6">
              <w:rPr>
                <w:color w:val="000000"/>
                <w:sz w:val="16"/>
              </w:rPr>
              <w:t>1.792,5</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24CEDA2" w14:textId="77777777" w:rsidR="0039673B" w:rsidRPr="00DB20F6" w:rsidRDefault="0039673B" w:rsidP="00C07BA6">
            <w:pPr>
              <w:jc w:val="right"/>
              <w:rPr>
                <w:rFonts w:cstheme="minorHAnsi"/>
                <w:color w:val="000000"/>
                <w:sz w:val="16"/>
                <w:szCs w:val="16"/>
              </w:rPr>
            </w:pPr>
            <w:r w:rsidRPr="00DB20F6">
              <w:rPr>
                <w:color w:val="000000"/>
                <w:sz w:val="16"/>
              </w:rPr>
              <w:t>608,4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6C45321F" w14:textId="77777777" w:rsidR="0039673B" w:rsidRPr="00DB20F6" w:rsidRDefault="0039673B" w:rsidP="00C07BA6">
            <w:pPr>
              <w:jc w:val="right"/>
              <w:rPr>
                <w:rFonts w:cstheme="minorHAnsi"/>
                <w:color w:val="000000"/>
                <w:sz w:val="16"/>
                <w:szCs w:val="16"/>
              </w:rPr>
            </w:pPr>
            <w:r w:rsidRPr="00DB20F6">
              <w:rPr>
                <w:color w:val="000000"/>
                <w:sz w:val="16"/>
              </w:rPr>
              <w:t>-66,1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A0C580"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C58B40" w14:textId="77777777" w:rsidR="0039673B" w:rsidRPr="00DB20F6" w:rsidRDefault="0039673B" w:rsidP="00C07BA6">
            <w:pPr>
              <w:jc w:val="right"/>
              <w:rPr>
                <w:rFonts w:cstheme="minorHAnsi"/>
                <w:color w:val="000000"/>
                <w:sz w:val="16"/>
                <w:szCs w:val="16"/>
              </w:rPr>
            </w:pPr>
            <w:r w:rsidRPr="00DB20F6">
              <w:rPr>
                <w:color w:val="000000"/>
                <w:sz w:val="16"/>
              </w:rPr>
              <w:t>245,2</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7C0896" w14:textId="77777777" w:rsidR="0039673B" w:rsidRPr="00DB20F6" w:rsidRDefault="0039673B" w:rsidP="00C07BA6">
            <w:pPr>
              <w:jc w:val="right"/>
              <w:rPr>
                <w:rFonts w:cstheme="minorHAnsi"/>
                <w:color w:val="000000"/>
                <w:sz w:val="16"/>
                <w:szCs w:val="16"/>
              </w:rPr>
            </w:pPr>
            <w:r w:rsidRPr="00DB20F6">
              <w:rPr>
                <w:color w:val="000000"/>
                <w:sz w:val="16"/>
              </w:rPr>
              <w:t>416,4</w:t>
            </w:r>
          </w:p>
        </w:tc>
        <w:tc>
          <w:tcPr>
            <w:tcW w:w="639" w:type="dxa"/>
            <w:tcBorders>
              <w:top w:val="nil"/>
              <w:left w:val="nil"/>
              <w:bottom w:val="single" w:sz="4" w:space="0" w:color="FFFFFF" w:themeColor="background1"/>
              <w:right w:val="nil"/>
            </w:tcBorders>
            <w:shd w:val="clear" w:color="auto" w:fill="auto"/>
            <w:noWrap/>
            <w:vAlign w:val="bottom"/>
            <w:hideMark/>
          </w:tcPr>
          <w:p w14:paraId="3D6269E3" w14:textId="77777777" w:rsidR="0039673B" w:rsidRPr="00DB20F6" w:rsidRDefault="0039673B" w:rsidP="00C07BA6">
            <w:pPr>
              <w:jc w:val="right"/>
              <w:rPr>
                <w:rFonts w:cstheme="minorHAnsi"/>
                <w:color w:val="000000"/>
                <w:sz w:val="16"/>
                <w:szCs w:val="16"/>
              </w:rPr>
            </w:pPr>
            <w:r w:rsidRPr="00DB20F6">
              <w:rPr>
                <w:color w:val="000000"/>
                <w:sz w:val="16"/>
              </w:rPr>
              <w:t>69,8</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3850C00" w14:textId="77777777" w:rsidR="0039673B" w:rsidRPr="00DB20F6" w:rsidRDefault="0039673B" w:rsidP="00C07BA6">
            <w:pPr>
              <w:jc w:val="right"/>
              <w:rPr>
                <w:rFonts w:cstheme="minorHAnsi"/>
                <w:color w:val="000000"/>
                <w:sz w:val="16"/>
                <w:szCs w:val="16"/>
              </w:rPr>
            </w:pPr>
            <w:r w:rsidRPr="00DB20F6">
              <w:rPr>
                <w:color w:val="000000"/>
                <w:sz w:val="16"/>
              </w:rPr>
              <w:t>68,5</w:t>
            </w:r>
          </w:p>
        </w:tc>
      </w:tr>
      <w:tr w:rsidR="0039673B" w:rsidRPr="00DB20F6" w14:paraId="54D5861E"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1CEB66F" w14:textId="77777777" w:rsidR="0039673B" w:rsidRPr="00DB20F6" w:rsidRDefault="0039673B" w:rsidP="00C07BA6">
            <w:pPr>
              <w:rPr>
                <w:rFonts w:cstheme="minorHAnsi"/>
                <w:color w:val="000000"/>
                <w:sz w:val="16"/>
                <w:szCs w:val="16"/>
              </w:rPr>
            </w:pPr>
            <w:r w:rsidRPr="00DB20F6">
              <w:rPr>
                <w:color w:val="000000"/>
                <w:sz w:val="16"/>
              </w:rPr>
              <w:t>Inde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23993A5" w14:textId="77777777" w:rsidR="0039673B" w:rsidRPr="00DB20F6" w:rsidRDefault="0039673B" w:rsidP="00C07BA6">
            <w:pPr>
              <w:jc w:val="right"/>
              <w:rPr>
                <w:rFonts w:cstheme="minorHAnsi"/>
                <w:color w:val="000000"/>
                <w:sz w:val="16"/>
                <w:szCs w:val="16"/>
              </w:rPr>
            </w:pPr>
            <w:r w:rsidRPr="00DB20F6">
              <w:rPr>
                <w:color w:val="000000"/>
                <w:sz w:val="16"/>
              </w:rPr>
              <w:t>0,7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65E1FA2E" w14:textId="77777777" w:rsidR="0039673B" w:rsidRPr="00DB20F6" w:rsidRDefault="0039673B" w:rsidP="00C07BA6">
            <w:pPr>
              <w:jc w:val="right"/>
              <w:rPr>
                <w:rFonts w:cstheme="minorHAnsi"/>
                <w:color w:val="000000"/>
                <w:sz w:val="16"/>
                <w:szCs w:val="16"/>
              </w:rPr>
            </w:pPr>
            <w:r w:rsidRPr="00DB20F6">
              <w:rPr>
                <w:color w:val="000000"/>
                <w:sz w:val="16"/>
              </w:rPr>
              <w:t>22.334,7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29479D5D" w14:textId="77777777" w:rsidR="0039673B" w:rsidRPr="00DB20F6" w:rsidRDefault="0039673B" w:rsidP="00C07BA6">
            <w:pPr>
              <w:jc w:val="right"/>
              <w:rPr>
                <w:rFonts w:cstheme="minorHAnsi"/>
                <w:color w:val="000000"/>
                <w:sz w:val="16"/>
                <w:szCs w:val="16"/>
              </w:rPr>
            </w:pPr>
            <w:r w:rsidRPr="00DB20F6">
              <w:rPr>
                <w:color w:val="000000"/>
                <w:sz w:val="16"/>
              </w:rPr>
              <w:t>8.907,6</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3B6CCCC8" w14:textId="77777777" w:rsidR="0039673B" w:rsidRPr="00DB20F6" w:rsidRDefault="0039673B" w:rsidP="00C07BA6">
            <w:pPr>
              <w:jc w:val="right"/>
              <w:rPr>
                <w:rFonts w:cstheme="minorHAnsi"/>
                <w:color w:val="000000"/>
                <w:sz w:val="16"/>
                <w:szCs w:val="16"/>
              </w:rPr>
            </w:pPr>
            <w:r w:rsidRPr="00DB20F6">
              <w:rPr>
                <w:color w:val="000000"/>
                <w:sz w:val="16"/>
              </w:rPr>
              <w:t>-60,1</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F8DFE2"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B1C908" w14:textId="77777777" w:rsidR="0039673B" w:rsidRPr="00DB20F6" w:rsidRDefault="0039673B" w:rsidP="00C07BA6">
            <w:pPr>
              <w:jc w:val="right"/>
              <w:rPr>
                <w:rFonts w:cstheme="minorHAnsi"/>
                <w:color w:val="000000"/>
                <w:sz w:val="16"/>
                <w:szCs w:val="16"/>
              </w:rPr>
            </w:pPr>
            <w:r w:rsidRPr="00DB20F6">
              <w:rPr>
                <w:color w:val="000000"/>
                <w:sz w:val="16"/>
              </w:rPr>
              <w:t>538,5</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79E8E9" w14:textId="77777777" w:rsidR="0039673B" w:rsidRPr="00DB20F6" w:rsidRDefault="0039673B" w:rsidP="00C07BA6">
            <w:pPr>
              <w:jc w:val="right"/>
              <w:rPr>
                <w:rFonts w:cstheme="minorHAnsi"/>
                <w:color w:val="000000"/>
                <w:sz w:val="16"/>
                <w:szCs w:val="16"/>
              </w:rPr>
            </w:pPr>
            <w:r w:rsidRPr="00DB20F6">
              <w:rPr>
                <w:color w:val="000000"/>
                <w:sz w:val="16"/>
              </w:rPr>
              <w:t>496,9</w:t>
            </w:r>
          </w:p>
        </w:tc>
        <w:tc>
          <w:tcPr>
            <w:tcW w:w="639" w:type="dxa"/>
            <w:tcBorders>
              <w:top w:val="nil"/>
              <w:left w:val="nil"/>
              <w:bottom w:val="single" w:sz="4" w:space="0" w:color="FFFFFF" w:themeColor="background1"/>
              <w:right w:val="nil"/>
            </w:tcBorders>
            <w:shd w:val="clear" w:color="auto" w:fill="auto"/>
            <w:noWrap/>
            <w:vAlign w:val="bottom"/>
            <w:hideMark/>
          </w:tcPr>
          <w:p w14:paraId="0BE9048C" w14:textId="77777777" w:rsidR="0039673B" w:rsidRPr="00DB20F6" w:rsidRDefault="0039673B" w:rsidP="00C07BA6">
            <w:pPr>
              <w:jc w:val="right"/>
              <w:rPr>
                <w:rFonts w:cstheme="minorHAnsi"/>
                <w:color w:val="000000"/>
                <w:sz w:val="16"/>
                <w:szCs w:val="16"/>
              </w:rPr>
            </w:pPr>
            <w:r w:rsidRPr="00DB20F6">
              <w:rPr>
                <w:color w:val="000000"/>
                <w:sz w:val="16"/>
              </w:rPr>
              <w:t>-7,7</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560276F" w14:textId="77777777" w:rsidR="0039673B" w:rsidRPr="00DB20F6" w:rsidRDefault="0039673B" w:rsidP="00C07BA6">
            <w:pPr>
              <w:jc w:val="right"/>
              <w:rPr>
                <w:rFonts w:cstheme="minorHAnsi"/>
                <w:color w:val="000000"/>
                <w:sz w:val="16"/>
                <w:szCs w:val="16"/>
              </w:rPr>
            </w:pPr>
            <w:r w:rsidRPr="00DB20F6">
              <w:rPr>
                <w:color w:val="000000"/>
                <w:sz w:val="16"/>
              </w:rPr>
              <w:t>5,6</w:t>
            </w:r>
          </w:p>
        </w:tc>
      </w:tr>
      <w:tr w:rsidR="0039673B" w:rsidRPr="00DB20F6" w14:paraId="36FFA5D1"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1E8720F7" w14:textId="77777777" w:rsidR="0039673B" w:rsidRPr="00DB20F6" w:rsidRDefault="0039673B" w:rsidP="00C07BA6">
            <w:pPr>
              <w:rPr>
                <w:rFonts w:cstheme="minorHAnsi"/>
                <w:color w:val="000000"/>
                <w:sz w:val="16"/>
                <w:szCs w:val="16"/>
              </w:rPr>
            </w:pPr>
            <w:r w:rsidRPr="00DB20F6">
              <w:rPr>
                <w:color w:val="000000"/>
                <w:sz w:val="16"/>
              </w:rPr>
              <w:t>Malaisie</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1086511" w14:textId="77777777" w:rsidR="0039673B" w:rsidRPr="00DB20F6" w:rsidRDefault="0039673B" w:rsidP="00C07BA6">
            <w:pPr>
              <w:jc w:val="right"/>
              <w:rPr>
                <w:rFonts w:cstheme="minorHAnsi"/>
                <w:color w:val="000000"/>
                <w:sz w:val="16"/>
                <w:szCs w:val="16"/>
              </w:rPr>
            </w:pPr>
            <w:r w:rsidRPr="00DB20F6">
              <w:rPr>
                <w:color w:val="000000"/>
                <w:sz w:val="16"/>
              </w:rPr>
              <w:t>0,3</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7A1A25FF" w14:textId="77777777" w:rsidR="0039673B" w:rsidRPr="00DB20F6" w:rsidRDefault="0039673B" w:rsidP="00C07BA6">
            <w:pPr>
              <w:jc w:val="right"/>
              <w:rPr>
                <w:rFonts w:cstheme="minorHAnsi"/>
                <w:color w:val="000000"/>
                <w:sz w:val="16"/>
                <w:szCs w:val="16"/>
              </w:rPr>
            </w:pPr>
            <w:r w:rsidRPr="00DB20F6">
              <w:rPr>
                <w:color w:val="000000"/>
                <w:sz w:val="16"/>
              </w:rPr>
              <w:t>10.094,9</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5830AC42" w14:textId="77777777" w:rsidR="0039673B" w:rsidRPr="00DB20F6" w:rsidRDefault="0039673B" w:rsidP="00C07BA6">
            <w:pPr>
              <w:jc w:val="right"/>
              <w:rPr>
                <w:rFonts w:cstheme="minorHAnsi"/>
                <w:color w:val="000000"/>
                <w:sz w:val="16"/>
                <w:szCs w:val="16"/>
              </w:rPr>
            </w:pPr>
            <w:r w:rsidRPr="00DB20F6">
              <w:rPr>
                <w:color w:val="000000"/>
                <w:sz w:val="16"/>
              </w:rPr>
              <w:t>3.989,4</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5E4D4D4C" w14:textId="77777777" w:rsidR="0039673B" w:rsidRPr="00DB20F6" w:rsidRDefault="0039673B" w:rsidP="00C07BA6">
            <w:pPr>
              <w:jc w:val="right"/>
              <w:rPr>
                <w:rFonts w:cstheme="minorHAnsi"/>
                <w:color w:val="000000"/>
                <w:sz w:val="16"/>
                <w:szCs w:val="16"/>
              </w:rPr>
            </w:pPr>
            <w:r w:rsidRPr="00DB20F6">
              <w:rPr>
                <w:color w:val="000000"/>
                <w:sz w:val="16"/>
              </w:rPr>
              <w:t>-60,5</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9B36F9"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98CA8C" w14:textId="77777777" w:rsidR="0039673B" w:rsidRPr="00DB20F6" w:rsidRDefault="0039673B" w:rsidP="00C07BA6">
            <w:pPr>
              <w:jc w:val="right"/>
              <w:rPr>
                <w:rFonts w:cstheme="minorHAnsi"/>
                <w:color w:val="000000"/>
                <w:sz w:val="16"/>
                <w:szCs w:val="16"/>
              </w:rPr>
            </w:pPr>
            <w:r w:rsidRPr="00DB20F6">
              <w:rPr>
                <w:color w:val="000000"/>
                <w:sz w:val="16"/>
              </w:rPr>
              <w:t>79,9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9F1967" w14:textId="77777777" w:rsidR="0039673B" w:rsidRPr="00DB20F6" w:rsidRDefault="0039673B" w:rsidP="00C07BA6">
            <w:pPr>
              <w:jc w:val="right"/>
              <w:rPr>
                <w:rFonts w:cstheme="minorHAnsi"/>
                <w:color w:val="000000"/>
                <w:sz w:val="16"/>
                <w:szCs w:val="16"/>
              </w:rPr>
            </w:pPr>
            <w:r w:rsidRPr="00DB20F6">
              <w:rPr>
                <w:color w:val="000000"/>
                <w:sz w:val="16"/>
              </w:rPr>
              <w:t>112,7</w:t>
            </w:r>
          </w:p>
        </w:tc>
        <w:tc>
          <w:tcPr>
            <w:tcW w:w="639" w:type="dxa"/>
            <w:tcBorders>
              <w:top w:val="nil"/>
              <w:left w:val="nil"/>
              <w:bottom w:val="single" w:sz="4" w:space="0" w:color="FFFFFF" w:themeColor="background1"/>
              <w:right w:val="nil"/>
            </w:tcBorders>
            <w:shd w:val="clear" w:color="auto" w:fill="auto"/>
            <w:noWrap/>
            <w:vAlign w:val="bottom"/>
            <w:hideMark/>
          </w:tcPr>
          <w:p w14:paraId="259E5544" w14:textId="77777777" w:rsidR="0039673B" w:rsidRPr="00DB20F6" w:rsidRDefault="0039673B" w:rsidP="00C07BA6">
            <w:pPr>
              <w:jc w:val="right"/>
              <w:rPr>
                <w:rFonts w:cstheme="minorHAnsi"/>
                <w:color w:val="000000"/>
                <w:sz w:val="16"/>
                <w:szCs w:val="16"/>
              </w:rPr>
            </w:pPr>
            <w:r w:rsidRPr="00DB20F6">
              <w:rPr>
                <w:color w:val="000000"/>
                <w:sz w:val="16"/>
              </w:rPr>
              <w:t>41,0</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639EB2B" w14:textId="77777777" w:rsidR="0039673B" w:rsidRPr="00DB20F6" w:rsidRDefault="0039673B" w:rsidP="00C07BA6">
            <w:pPr>
              <w:jc w:val="right"/>
              <w:rPr>
                <w:rFonts w:cstheme="minorHAnsi"/>
                <w:color w:val="000000"/>
                <w:sz w:val="16"/>
                <w:szCs w:val="16"/>
              </w:rPr>
            </w:pPr>
            <w:r w:rsidRPr="00DB20F6">
              <w:rPr>
                <w:color w:val="000000"/>
                <w:sz w:val="16"/>
              </w:rPr>
              <w:t>2,8</w:t>
            </w:r>
          </w:p>
        </w:tc>
      </w:tr>
      <w:tr w:rsidR="0039673B" w:rsidRPr="00DB20F6" w14:paraId="7DD0A6BB" w14:textId="77777777" w:rsidTr="00C07BA6">
        <w:tc>
          <w:tcPr>
            <w:tcW w:w="1229" w:type="dxa"/>
            <w:tcBorders>
              <w:top w:val="nil"/>
              <w:left w:val="single" w:sz="4" w:space="0" w:color="auto"/>
              <w:bottom w:val="nil"/>
              <w:right w:val="nil"/>
            </w:tcBorders>
            <w:shd w:val="clear" w:color="auto" w:fill="auto"/>
            <w:vAlign w:val="bottom"/>
            <w:hideMark/>
          </w:tcPr>
          <w:p w14:paraId="08890A90" w14:textId="77777777" w:rsidR="0039673B" w:rsidRPr="00DB20F6" w:rsidRDefault="0039673B" w:rsidP="00C07BA6">
            <w:pPr>
              <w:rPr>
                <w:rFonts w:cstheme="minorHAnsi"/>
                <w:color w:val="000000"/>
                <w:sz w:val="16"/>
                <w:szCs w:val="16"/>
              </w:rPr>
            </w:pPr>
            <w:r w:rsidRPr="00DB20F6">
              <w:rPr>
                <w:color w:val="000000"/>
                <w:sz w:val="16"/>
              </w:rPr>
              <w:t>Vietnam</w:t>
            </w:r>
          </w:p>
        </w:tc>
        <w:tc>
          <w:tcPr>
            <w:tcW w:w="609" w:type="dxa"/>
            <w:tcBorders>
              <w:top w:val="nil"/>
              <w:left w:val="single" w:sz="4" w:space="0" w:color="auto"/>
              <w:bottom w:val="nil"/>
              <w:right w:val="single" w:sz="4" w:space="0" w:color="FFFFFF" w:themeColor="background1"/>
            </w:tcBorders>
            <w:shd w:val="clear" w:color="auto" w:fill="auto"/>
            <w:vAlign w:val="bottom"/>
            <w:hideMark/>
          </w:tcPr>
          <w:p w14:paraId="0C66DC4E" w14:textId="77777777" w:rsidR="0039673B" w:rsidRPr="00DB20F6" w:rsidRDefault="0039673B" w:rsidP="00C07BA6">
            <w:pPr>
              <w:jc w:val="right"/>
              <w:rPr>
                <w:rFonts w:cstheme="minorHAnsi"/>
                <w:color w:val="000000"/>
                <w:sz w:val="16"/>
                <w:szCs w:val="16"/>
              </w:rPr>
            </w:pPr>
            <w:r w:rsidRPr="00DB20F6">
              <w:rPr>
                <w:color w:val="000000"/>
                <w:sz w:val="16"/>
              </w:rPr>
              <w:t>1,4</w:t>
            </w:r>
          </w:p>
        </w:tc>
        <w:tc>
          <w:tcPr>
            <w:tcW w:w="980" w:type="dxa"/>
            <w:tcBorders>
              <w:top w:val="nil"/>
              <w:left w:val="nil"/>
              <w:bottom w:val="nil"/>
              <w:right w:val="single" w:sz="4" w:space="0" w:color="FFFFFF" w:themeColor="background1"/>
            </w:tcBorders>
            <w:shd w:val="clear" w:color="auto" w:fill="auto"/>
            <w:vAlign w:val="bottom"/>
            <w:hideMark/>
          </w:tcPr>
          <w:p w14:paraId="611E5355" w14:textId="77777777" w:rsidR="0039673B" w:rsidRPr="00DB20F6" w:rsidRDefault="0039673B" w:rsidP="00C07BA6">
            <w:pPr>
              <w:jc w:val="right"/>
              <w:rPr>
                <w:rFonts w:cstheme="minorHAnsi"/>
                <w:color w:val="000000"/>
                <w:sz w:val="16"/>
                <w:szCs w:val="16"/>
              </w:rPr>
            </w:pPr>
            <w:r w:rsidRPr="00DB20F6">
              <w:rPr>
                <w:color w:val="000000"/>
                <w:sz w:val="16"/>
              </w:rPr>
              <w:t>38.189,4</w:t>
            </w:r>
          </w:p>
        </w:tc>
        <w:tc>
          <w:tcPr>
            <w:tcW w:w="980" w:type="dxa"/>
            <w:tcBorders>
              <w:top w:val="nil"/>
              <w:left w:val="nil"/>
              <w:bottom w:val="nil"/>
              <w:right w:val="single" w:sz="4" w:space="0" w:color="FFFFFF" w:themeColor="background1"/>
            </w:tcBorders>
            <w:shd w:val="clear" w:color="auto" w:fill="auto"/>
            <w:vAlign w:val="bottom"/>
            <w:hideMark/>
          </w:tcPr>
          <w:p w14:paraId="636FCA27" w14:textId="77777777" w:rsidR="0039673B" w:rsidRPr="00DB20F6" w:rsidRDefault="0039673B" w:rsidP="00C07BA6">
            <w:pPr>
              <w:jc w:val="right"/>
              <w:rPr>
                <w:rFonts w:cstheme="minorHAnsi"/>
                <w:color w:val="000000"/>
                <w:sz w:val="16"/>
                <w:szCs w:val="16"/>
              </w:rPr>
            </w:pPr>
            <w:r w:rsidRPr="00DB20F6">
              <w:rPr>
                <w:color w:val="000000"/>
                <w:sz w:val="16"/>
              </w:rPr>
              <w:t>17.264,7</w:t>
            </w:r>
          </w:p>
        </w:tc>
        <w:tc>
          <w:tcPr>
            <w:tcW w:w="827" w:type="dxa"/>
            <w:tcBorders>
              <w:top w:val="nil"/>
              <w:left w:val="nil"/>
              <w:bottom w:val="nil"/>
              <w:right w:val="single" w:sz="4" w:space="0" w:color="auto"/>
            </w:tcBorders>
            <w:shd w:val="clear" w:color="auto" w:fill="auto"/>
            <w:noWrap/>
            <w:vAlign w:val="bottom"/>
            <w:hideMark/>
          </w:tcPr>
          <w:p w14:paraId="52AB380C" w14:textId="77777777" w:rsidR="0039673B" w:rsidRPr="00DB20F6" w:rsidRDefault="0039673B" w:rsidP="00C07BA6">
            <w:pPr>
              <w:jc w:val="right"/>
              <w:rPr>
                <w:rFonts w:cstheme="minorHAnsi"/>
                <w:color w:val="000000"/>
                <w:sz w:val="16"/>
                <w:szCs w:val="16"/>
              </w:rPr>
            </w:pPr>
            <w:r w:rsidRPr="00DB20F6">
              <w:rPr>
                <w:color w:val="000000"/>
                <w:sz w:val="16"/>
              </w:rPr>
              <w:t>-54,8</w:t>
            </w:r>
          </w:p>
        </w:tc>
        <w:tc>
          <w:tcPr>
            <w:tcW w:w="786" w:type="dxa"/>
            <w:tcBorders>
              <w:top w:val="nil"/>
              <w:left w:val="nil"/>
              <w:bottom w:val="nil"/>
              <w:right w:val="single" w:sz="4" w:space="0" w:color="FFFFFF" w:themeColor="background1"/>
            </w:tcBorders>
            <w:shd w:val="clear" w:color="auto" w:fill="auto"/>
            <w:noWrap/>
            <w:vAlign w:val="bottom"/>
            <w:hideMark/>
          </w:tcPr>
          <w:p w14:paraId="0D920432" w14:textId="77777777" w:rsidR="0039673B" w:rsidRPr="00DB20F6" w:rsidRDefault="0039673B" w:rsidP="00C07BA6">
            <w:pPr>
              <w:jc w:val="right"/>
              <w:rPr>
                <w:rFonts w:cstheme="minorHAnsi"/>
                <w:color w:val="000000"/>
                <w:sz w:val="16"/>
                <w:szCs w:val="16"/>
              </w:rPr>
            </w:pPr>
            <w:r w:rsidRPr="00DB20F6">
              <w:rPr>
                <w:color w:val="000000"/>
                <w:sz w:val="16"/>
              </w:rPr>
              <w:t>0,0</w:t>
            </w:r>
          </w:p>
        </w:tc>
        <w:tc>
          <w:tcPr>
            <w:tcW w:w="859" w:type="dxa"/>
            <w:tcBorders>
              <w:top w:val="nil"/>
              <w:left w:val="nil"/>
              <w:bottom w:val="nil"/>
              <w:right w:val="single" w:sz="4" w:space="0" w:color="FFFFFF" w:themeColor="background1"/>
            </w:tcBorders>
            <w:shd w:val="clear" w:color="auto" w:fill="auto"/>
            <w:noWrap/>
            <w:vAlign w:val="bottom"/>
            <w:hideMark/>
          </w:tcPr>
          <w:p w14:paraId="35B7B1DB" w14:textId="77777777" w:rsidR="0039673B" w:rsidRPr="00DB20F6" w:rsidRDefault="0039673B" w:rsidP="00C07BA6">
            <w:pPr>
              <w:jc w:val="right"/>
              <w:rPr>
                <w:rFonts w:cstheme="minorHAnsi"/>
                <w:color w:val="000000"/>
                <w:sz w:val="16"/>
                <w:szCs w:val="16"/>
              </w:rPr>
            </w:pPr>
            <w:r w:rsidRPr="00DB20F6">
              <w:rPr>
                <w:color w:val="000000"/>
                <w:sz w:val="16"/>
              </w:rPr>
              <w:t>42,4</w:t>
            </w:r>
          </w:p>
        </w:tc>
        <w:tc>
          <w:tcPr>
            <w:tcW w:w="859" w:type="dxa"/>
            <w:tcBorders>
              <w:top w:val="nil"/>
              <w:left w:val="nil"/>
              <w:bottom w:val="nil"/>
              <w:right w:val="single" w:sz="4" w:space="0" w:color="FFFFFF" w:themeColor="background1"/>
            </w:tcBorders>
            <w:shd w:val="clear" w:color="auto" w:fill="auto"/>
            <w:noWrap/>
            <w:vAlign w:val="bottom"/>
            <w:hideMark/>
          </w:tcPr>
          <w:p w14:paraId="632EE12B" w14:textId="77777777" w:rsidR="0039673B" w:rsidRPr="00DB20F6" w:rsidRDefault="0039673B" w:rsidP="00C07BA6">
            <w:pPr>
              <w:jc w:val="right"/>
              <w:rPr>
                <w:rFonts w:cstheme="minorHAnsi"/>
                <w:color w:val="000000"/>
                <w:sz w:val="16"/>
                <w:szCs w:val="16"/>
              </w:rPr>
            </w:pPr>
            <w:r w:rsidRPr="00DB20F6">
              <w:rPr>
                <w:color w:val="000000"/>
                <w:sz w:val="16"/>
              </w:rPr>
              <w:t>188,4</w:t>
            </w:r>
          </w:p>
        </w:tc>
        <w:tc>
          <w:tcPr>
            <w:tcW w:w="639" w:type="dxa"/>
            <w:tcBorders>
              <w:top w:val="nil"/>
              <w:left w:val="nil"/>
              <w:bottom w:val="nil"/>
              <w:right w:val="single" w:sz="4" w:space="0" w:color="auto"/>
            </w:tcBorders>
            <w:shd w:val="clear" w:color="auto" w:fill="auto"/>
            <w:noWrap/>
            <w:vAlign w:val="bottom"/>
            <w:hideMark/>
          </w:tcPr>
          <w:p w14:paraId="18811AD2" w14:textId="77777777" w:rsidR="0039673B" w:rsidRPr="00DB20F6" w:rsidRDefault="0039673B" w:rsidP="00C07BA6">
            <w:pPr>
              <w:jc w:val="right"/>
              <w:rPr>
                <w:rFonts w:cstheme="minorHAnsi"/>
                <w:color w:val="000000"/>
                <w:sz w:val="16"/>
                <w:szCs w:val="16"/>
              </w:rPr>
            </w:pPr>
            <w:r w:rsidRPr="00DB20F6">
              <w:rPr>
                <w:color w:val="000000"/>
                <w:sz w:val="16"/>
              </w:rPr>
              <w:t>344,8</w:t>
            </w:r>
          </w:p>
        </w:tc>
        <w:tc>
          <w:tcPr>
            <w:tcW w:w="1046" w:type="dxa"/>
            <w:tcBorders>
              <w:top w:val="nil"/>
              <w:left w:val="nil"/>
              <w:bottom w:val="nil"/>
              <w:right w:val="single" w:sz="4" w:space="0" w:color="auto"/>
            </w:tcBorders>
            <w:shd w:val="clear" w:color="auto" w:fill="auto"/>
            <w:noWrap/>
            <w:vAlign w:val="bottom"/>
            <w:hideMark/>
          </w:tcPr>
          <w:p w14:paraId="2BEEA8DB" w14:textId="77777777" w:rsidR="0039673B" w:rsidRPr="00DB20F6" w:rsidRDefault="0039673B" w:rsidP="00C07BA6">
            <w:pPr>
              <w:jc w:val="right"/>
              <w:rPr>
                <w:rFonts w:cstheme="minorHAnsi"/>
                <w:color w:val="000000"/>
                <w:sz w:val="16"/>
                <w:szCs w:val="16"/>
              </w:rPr>
            </w:pPr>
            <w:r w:rsidRPr="00DB20F6">
              <w:rPr>
                <w:color w:val="000000"/>
                <w:sz w:val="16"/>
              </w:rPr>
              <w:t>1,1</w:t>
            </w:r>
          </w:p>
        </w:tc>
      </w:tr>
      <w:tr w:rsidR="0039673B" w:rsidRPr="00DB20F6" w14:paraId="5741D0F3"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hideMark/>
          </w:tcPr>
          <w:p w14:paraId="48995795" w14:textId="77777777" w:rsidR="0039673B" w:rsidRPr="00DB20F6" w:rsidRDefault="0039673B" w:rsidP="00C07BA6">
            <w:pPr>
              <w:rPr>
                <w:rFonts w:cstheme="minorHAnsi"/>
                <w:color w:val="000000"/>
                <w:sz w:val="16"/>
                <w:szCs w:val="16"/>
              </w:rPr>
            </w:pPr>
            <w:r w:rsidRPr="00DB20F6">
              <w:rPr>
                <w:color w:val="000000"/>
                <w:sz w:val="16"/>
              </w:rPr>
              <w:t>Japon</w:t>
            </w: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DC1CE83"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4F1C5A32" w14:textId="77777777" w:rsidR="0039673B" w:rsidRPr="00DB20F6" w:rsidRDefault="0039673B" w:rsidP="00C07BA6">
            <w:pPr>
              <w:jc w:val="right"/>
              <w:rPr>
                <w:rFonts w:cstheme="minorHAnsi"/>
                <w:color w:val="000000"/>
                <w:sz w:val="16"/>
                <w:szCs w:val="16"/>
              </w:rPr>
            </w:pPr>
            <w:r w:rsidRPr="00DB20F6">
              <w:rPr>
                <w:color w:val="000000"/>
                <w:sz w:val="16"/>
              </w:rPr>
              <w:t>918,7</w:t>
            </w:r>
          </w:p>
        </w:tc>
        <w:tc>
          <w:tcPr>
            <w:tcW w:w="980" w:type="dxa"/>
            <w:tcBorders>
              <w:top w:val="nil"/>
              <w:left w:val="nil"/>
              <w:bottom w:val="single" w:sz="4" w:space="0" w:color="FFFFFF" w:themeColor="background1"/>
              <w:right w:val="single" w:sz="4" w:space="0" w:color="FFFFFF" w:themeColor="background1"/>
            </w:tcBorders>
            <w:shd w:val="clear" w:color="auto" w:fill="auto"/>
            <w:vAlign w:val="bottom"/>
            <w:hideMark/>
          </w:tcPr>
          <w:p w14:paraId="0DBD0B81" w14:textId="77777777" w:rsidR="0039673B" w:rsidRPr="00DB20F6" w:rsidRDefault="0039673B" w:rsidP="00C07BA6">
            <w:pPr>
              <w:jc w:val="right"/>
              <w:rPr>
                <w:rFonts w:cstheme="minorHAnsi"/>
                <w:color w:val="000000"/>
                <w:sz w:val="16"/>
                <w:szCs w:val="16"/>
              </w:rPr>
            </w:pPr>
            <w:r w:rsidRPr="00DB20F6">
              <w:rPr>
                <w:color w:val="000000"/>
                <w:sz w:val="16"/>
              </w:rPr>
              <w:t>883,8</w:t>
            </w:r>
          </w:p>
        </w:tc>
        <w:tc>
          <w:tcPr>
            <w:tcW w:w="827" w:type="dxa"/>
            <w:tcBorders>
              <w:top w:val="nil"/>
              <w:left w:val="nil"/>
              <w:bottom w:val="single" w:sz="4" w:space="0" w:color="FFFFFF" w:themeColor="background1"/>
              <w:right w:val="single" w:sz="4" w:space="0" w:color="auto"/>
            </w:tcBorders>
            <w:shd w:val="clear" w:color="auto" w:fill="auto"/>
            <w:noWrap/>
            <w:vAlign w:val="bottom"/>
            <w:hideMark/>
          </w:tcPr>
          <w:p w14:paraId="286F1773" w14:textId="77777777" w:rsidR="0039673B" w:rsidRPr="00DB20F6" w:rsidRDefault="0039673B" w:rsidP="00C07BA6">
            <w:pPr>
              <w:jc w:val="right"/>
              <w:rPr>
                <w:rFonts w:cstheme="minorHAnsi"/>
                <w:color w:val="000000"/>
                <w:sz w:val="16"/>
                <w:szCs w:val="16"/>
              </w:rPr>
            </w:pPr>
            <w:r w:rsidRPr="00DB20F6">
              <w:rPr>
                <w:color w:val="000000"/>
                <w:sz w:val="16"/>
              </w:rPr>
              <w:t>-3,8</w:t>
            </w: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E36A79" w14:textId="77777777" w:rsidR="0039673B" w:rsidRPr="00DB20F6" w:rsidRDefault="0039673B" w:rsidP="00C07BA6">
            <w:pPr>
              <w:jc w:val="right"/>
              <w:rPr>
                <w:rFonts w:cstheme="minorHAnsi"/>
                <w:color w:val="000000"/>
                <w:sz w:val="16"/>
                <w:szCs w:val="16"/>
              </w:rPr>
            </w:pPr>
            <w:r w:rsidRPr="00DB20F6">
              <w:rPr>
                <w:color w:val="000000"/>
                <w:sz w:val="16"/>
              </w:rPr>
              <w:t>0,1</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7879AD" w14:textId="77777777" w:rsidR="0039673B" w:rsidRPr="00DB20F6" w:rsidRDefault="0039673B" w:rsidP="00C07BA6">
            <w:pPr>
              <w:jc w:val="right"/>
              <w:rPr>
                <w:rFonts w:cstheme="minorHAnsi"/>
                <w:color w:val="000000"/>
                <w:sz w:val="16"/>
                <w:szCs w:val="16"/>
              </w:rPr>
            </w:pPr>
            <w:r w:rsidRPr="00DB20F6">
              <w:rPr>
                <w:color w:val="000000"/>
                <w:sz w:val="16"/>
              </w:rPr>
              <w:t>1.124,9</w:t>
            </w: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E0B3E5" w14:textId="77777777" w:rsidR="0039673B" w:rsidRPr="00DB20F6" w:rsidRDefault="0039673B" w:rsidP="00C07BA6">
            <w:pPr>
              <w:jc w:val="right"/>
              <w:rPr>
                <w:rFonts w:cstheme="minorHAnsi"/>
                <w:color w:val="000000"/>
                <w:sz w:val="16"/>
                <w:szCs w:val="16"/>
              </w:rPr>
            </w:pPr>
            <w:r w:rsidRPr="00DB20F6">
              <w:rPr>
                <w:color w:val="000000"/>
                <w:sz w:val="16"/>
              </w:rPr>
              <w:t>1.062,1</w:t>
            </w:r>
          </w:p>
        </w:tc>
        <w:tc>
          <w:tcPr>
            <w:tcW w:w="639" w:type="dxa"/>
            <w:tcBorders>
              <w:top w:val="nil"/>
              <w:left w:val="nil"/>
              <w:bottom w:val="single" w:sz="4" w:space="0" w:color="FFFFFF" w:themeColor="background1"/>
              <w:right w:val="nil"/>
            </w:tcBorders>
            <w:shd w:val="clear" w:color="auto" w:fill="auto"/>
            <w:noWrap/>
            <w:vAlign w:val="bottom"/>
            <w:hideMark/>
          </w:tcPr>
          <w:p w14:paraId="1E622E10" w14:textId="77777777" w:rsidR="0039673B" w:rsidRPr="00DB20F6" w:rsidRDefault="0039673B" w:rsidP="00C07BA6">
            <w:pPr>
              <w:jc w:val="right"/>
              <w:rPr>
                <w:rFonts w:cstheme="minorHAnsi"/>
                <w:color w:val="000000"/>
                <w:sz w:val="16"/>
                <w:szCs w:val="16"/>
              </w:rPr>
            </w:pPr>
            <w:r w:rsidRPr="00DB20F6">
              <w:rPr>
                <w:color w:val="000000"/>
                <w:sz w:val="16"/>
              </w:rPr>
              <w:t>-5,6</w:t>
            </w: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78DD56F" w14:textId="77777777" w:rsidR="0039673B" w:rsidRPr="00DB20F6" w:rsidRDefault="0039673B" w:rsidP="00C07BA6">
            <w:pPr>
              <w:jc w:val="right"/>
              <w:rPr>
                <w:rFonts w:cstheme="minorHAnsi"/>
                <w:color w:val="000000"/>
                <w:sz w:val="16"/>
                <w:szCs w:val="16"/>
              </w:rPr>
            </w:pPr>
            <w:r w:rsidRPr="00DB20F6">
              <w:rPr>
                <w:color w:val="000000"/>
                <w:sz w:val="16"/>
              </w:rPr>
              <w:t>120,2</w:t>
            </w:r>
          </w:p>
        </w:tc>
      </w:tr>
      <w:tr w:rsidR="0039673B" w:rsidRPr="00DB20F6" w14:paraId="43B7C1B5" w14:textId="77777777" w:rsidTr="00C07BA6">
        <w:tc>
          <w:tcPr>
            <w:tcW w:w="1229" w:type="dxa"/>
            <w:tcBorders>
              <w:top w:val="nil"/>
              <w:left w:val="single" w:sz="4" w:space="0" w:color="auto"/>
              <w:bottom w:val="single" w:sz="4" w:space="0" w:color="FFFFFF" w:themeColor="background1"/>
              <w:right w:val="nil"/>
            </w:tcBorders>
            <w:shd w:val="clear" w:color="auto" w:fill="auto"/>
            <w:vAlign w:val="bottom"/>
          </w:tcPr>
          <w:p w14:paraId="12F9DB03" w14:textId="77777777" w:rsidR="0039673B" w:rsidRPr="00DB20F6" w:rsidRDefault="0039673B" w:rsidP="00C07BA6">
            <w:pPr>
              <w:rPr>
                <w:rFonts w:cstheme="minorHAnsi"/>
                <w:color w:val="000000"/>
                <w:sz w:val="16"/>
                <w:szCs w:val="16"/>
              </w:rPr>
            </w:pPr>
          </w:p>
        </w:tc>
        <w:tc>
          <w:tcPr>
            <w:tcW w:w="609" w:type="dxa"/>
            <w:tcBorders>
              <w:top w:val="nil"/>
              <w:left w:val="single" w:sz="4" w:space="0" w:color="auto"/>
              <w:bottom w:val="single" w:sz="4" w:space="0" w:color="FFFFFF" w:themeColor="background1"/>
              <w:right w:val="single" w:sz="4" w:space="0" w:color="FFFFFF" w:themeColor="background1"/>
            </w:tcBorders>
            <w:shd w:val="clear" w:color="auto" w:fill="auto"/>
            <w:vAlign w:val="bottom"/>
          </w:tcPr>
          <w:p w14:paraId="1653C8AD" w14:textId="77777777" w:rsidR="0039673B" w:rsidRPr="00DB20F6" w:rsidRDefault="0039673B" w:rsidP="00C07BA6">
            <w:pPr>
              <w:jc w:val="right"/>
              <w:rPr>
                <w:rFonts w:cstheme="minorHAnsi"/>
                <w:color w:val="000000"/>
                <w:sz w:val="16"/>
                <w:szCs w:val="16"/>
              </w:rPr>
            </w:pPr>
          </w:p>
        </w:tc>
        <w:tc>
          <w:tcPr>
            <w:tcW w:w="980" w:type="dxa"/>
            <w:tcBorders>
              <w:top w:val="nil"/>
              <w:left w:val="nil"/>
              <w:bottom w:val="single" w:sz="4" w:space="0" w:color="FFFFFF" w:themeColor="background1"/>
              <w:right w:val="single" w:sz="4" w:space="0" w:color="FFFFFF" w:themeColor="background1"/>
            </w:tcBorders>
            <w:shd w:val="clear" w:color="auto" w:fill="auto"/>
            <w:vAlign w:val="bottom"/>
          </w:tcPr>
          <w:p w14:paraId="27464C5F" w14:textId="77777777" w:rsidR="0039673B" w:rsidRPr="00DB20F6" w:rsidRDefault="0039673B" w:rsidP="00C07BA6">
            <w:pPr>
              <w:jc w:val="right"/>
              <w:rPr>
                <w:rFonts w:cstheme="minorHAnsi"/>
                <w:color w:val="000000"/>
                <w:sz w:val="16"/>
                <w:szCs w:val="16"/>
              </w:rPr>
            </w:pPr>
          </w:p>
        </w:tc>
        <w:tc>
          <w:tcPr>
            <w:tcW w:w="980" w:type="dxa"/>
            <w:tcBorders>
              <w:top w:val="nil"/>
              <w:left w:val="nil"/>
              <w:bottom w:val="single" w:sz="4" w:space="0" w:color="FFFFFF" w:themeColor="background1"/>
              <w:right w:val="single" w:sz="4" w:space="0" w:color="FFFFFF" w:themeColor="background1"/>
            </w:tcBorders>
            <w:shd w:val="clear" w:color="auto" w:fill="auto"/>
            <w:vAlign w:val="bottom"/>
          </w:tcPr>
          <w:p w14:paraId="4EECA2D7" w14:textId="77777777" w:rsidR="0039673B" w:rsidRPr="00DB20F6" w:rsidRDefault="0039673B" w:rsidP="00C07BA6">
            <w:pPr>
              <w:jc w:val="right"/>
              <w:rPr>
                <w:rFonts w:cstheme="minorHAnsi"/>
                <w:color w:val="000000"/>
                <w:sz w:val="16"/>
                <w:szCs w:val="16"/>
              </w:rPr>
            </w:pPr>
          </w:p>
        </w:tc>
        <w:tc>
          <w:tcPr>
            <w:tcW w:w="827" w:type="dxa"/>
            <w:tcBorders>
              <w:top w:val="nil"/>
              <w:left w:val="nil"/>
              <w:bottom w:val="single" w:sz="4" w:space="0" w:color="FFFFFF" w:themeColor="background1"/>
              <w:right w:val="single" w:sz="4" w:space="0" w:color="auto"/>
            </w:tcBorders>
            <w:shd w:val="clear" w:color="auto" w:fill="auto"/>
            <w:noWrap/>
            <w:vAlign w:val="bottom"/>
          </w:tcPr>
          <w:p w14:paraId="672FF323" w14:textId="77777777" w:rsidR="0039673B" w:rsidRPr="00DB20F6" w:rsidRDefault="0039673B" w:rsidP="00C07BA6">
            <w:pPr>
              <w:jc w:val="right"/>
              <w:rPr>
                <w:rFonts w:cstheme="minorHAnsi"/>
                <w:color w:val="000000"/>
                <w:sz w:val="16"/>
                <w:szCs w:val="16"/>
              </w:rPr>
            </w:pPr>
          </w:p>
        </w:tc>
        <w:tc>
          <w:tcPr>
            <w:tcW w:w="786" w:type="dxa"/>
            <w:tcBorders>
              <w:top w:val="nil"/>
              <w:left w:val="nil"/>
              <w:bottom w:val="single" w:sz="4" w:space="0" w:color="FFFFFF" w:themeColor="background1"/>
              <w:right w:val="single" w:sz="4" w:space="0" w:color="FFFFFF" w:themeColor="background1"/>
            </w:tcBorders>
            <w:shd w:val="clear" w:color="auto" w:fill="auto"/>
            <w:noWrap/>
            <w:vAlign w:val="bottom"/>
          </w:tcPr>
          <w:p w14:paraId="358F682C" w14:textId="77777777" w:rsidR="0039673B" w:rsidRPr="00DB20F6" w:rsidRDefault="0039673B" w:rsidP="00C07BA6">
            <w:pPr>
              <w:jc w:val="right"/>
              <w:rPr>
                <w:rFonts w:cstheme="minorHAnsi"/>
                <w:color w:val="000000"/>
                <w:sz w:val="16"/>
                <w:szCs w:val="16"/>
              </w:rPr>
            </w:pP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tcPr>
          <w:p w14:paraId="599C2D62" w14:textId="77777777" w:rsidR="0039673B" w:rsidRPr="00DB20F6" w:rsidRDefault="0039673B" w:rsidP="00C07BA6">
            <w:pPr>
              <w:jc w:val="right"/>
              <w:rPr>
                <w:rFonts w:cstheme="minorHAnsi"/>
                <w:color w:val="000000"/>
                <w:sz w:val="16"/>
                <w:szCs w:val="16"/>
              </w:rPr>
            </w:pPr>
          </w:p>
        </w:tc>
        <w:tc>
          <w:tcPr>
            <w:tcW w:w="859" w:type="dxa"/>
            <w:tcBorders>
              <w:top w:val="nil"/>
              <w:left w:val="nil"/>
              <w:bottom w:val="single" w:sz="4" w:space="0" w:color="FFFFFF" w:themeColor="background1"/>
              <w:right w:val="single" w:sz="4" w:space="0" w:color="FFFFFF" w:themeColor="background1"/>
            </w:tcBorders>
            <w:shd w:val="clear" w:color="auto" w:fill="auto"/>
            <w:noWrap/>
            <w:vAlign w:val="bottom"/>
          </w:tcPr>
          <w:p w14:paraId="5785FACB" w14:textId="77777777" w:rsidR="0039673B" w:rsidRPr="00DB20F6" w:rsidRDefault="0039673B" w:rsidP="00C07BA6">
            <w:pPr>
              <w:jc w:val="right"/>
              <w:rPr>
                <w:rFonts w:cstheme="minorHAnsi"/>
                <w:color w:val="000000"/>
                <w:sz w:val="16"/>
                <w:szCs w:val="16"/>
              </w:rPr>
            </w:pPr>
          </w:p>
        </w:tc>
        <w:tc>
          <w:tcPr>
            <w:tcW w:w="639" w:type="dxa"/>
            <w:tcBorders>
              <w:top w:val="nil"/>
              <w:left w:val="nil"/>
              <w:bottom w:val="single" w:sz="4" w:space="0" w:color="FFFFFF" w:themeColor="background1"/>
              <w:right w:val="nil"/>
            </w:tcBorders>
            <w:shd w:val="clear" w:color="auto" w:fill="auto"/>
            <w:noWrap/>
            <w:vAlign w:val="bottom"/>
          </w:tcPr>
          <w:p w14:paraId="49F310B1" w14:textId="77777777" w:rsidR="0039673B" w:rsidRPr="00DB20F6" w:rsidRDefault="0039673B" w:rsidP="00C07BA6">
            <w:pPr>
              <w:jc w:val="right"/>
              <w:rPr>
                <w:rFonts w:cstheme="minorHAnsi"/>
                <w:color w:val="000000"/>
                <w:sz w:val="16"/>
                <w:szCs w:val="16"/>
              </w:rPr>
            </w:pPr>
          </w:p>
        </w:tc>
        <w:tc>
          <w:tcPr>
            <w:tcW w:w="1046" w:type="dxa"/>
            <w:tcBorders>
              <w:top w:val="nil"/>
              <w:left w:val="single" w:sz="4" w:space="0" w:color="auto"/>
              <w:bottom w:val="single" w:sz="4" w:space="0" w:color="FFFFFF" w:themeColor="background1"/>
              <w:right w:val="single" w:sz="4" w:space="0" w:color="auto"/>
            </w:tcBorders>
            <w:shd w:val="clear" w:color="auto" w:fill="auto"/>
            <w:noWrap/>
            <w:vAlign w:val="bottom"/>
          </w:tcPr>
          <w:p w14:paraId="0CD43311" w14:textId="77777777" w:rsidR="0039673B" w:rsidRPr="00DB20F6" w:rsidRDefault="0039673B" w:rsidP="00C07BA6">
            <w:pPr>
              <w:jc w:val="right"/>
              <w:rPr>
                <w:rFonts w:cstheme="minorHAnsi"/>
                <w:color w:val="000000"/>
                <w:sz w:val="16"/>
                <w:szCs w:val="16"/>
              </w:rPr>
            </w:pPr>
          </w:p>
        </w:tc>
      </w:tr>
      <w:tr w:rsidR="0039673B" w:rsidRPr="00DB20F6" w14:paraId="0049B091" w14:textId="77777777" w:rsidTr="00C07BA6">
        <w:tc>
          <w:tcPr>
            <w:tcW w:w="1229" w:type="dxa"/>
            <w:tcBorders>
              <w:top w:val="nil"/>
              <w:left w:val="single" w:sz="4" w:space="0" w:color="auto"/>
              <w:bottom w:val="single" w:sz="4" w:space="0" w:color="auto"/>
              <w:right w:val="single" w:sz="4" w:space="0" w:color="auto"/>
            </w:tcBorders>
            <w:shd w:val="clear" w:color="auto" w:fill="auto"/>
            <w:vAlign w:val="center"/>
            <w:hideMark/>
          </w:tcPr>
          <w:p w14:paraId="7B8F0EDF" w14:textId="77777777" w:rsidR="0039673B" w:rsidRPr="00DB20F6" w:rsidRDefault="0039673B" w:rsidP="00C07BA6">
            <w:pPr>
              <w:rPr>
                <w:rFonts w:cstheme="minorHAnsi"/>
                <w:color w:val="000000"/>
                <w:sz w:val="16"/>
                <w:szCs w:val="16"/>
              </w:rPr>
            </w:pPr>
            <w:r w:rsidRPr="00DB20F6">
              <w:rPr>
                <w:rFonts w:ascii="Calibri" w:hAnsi="Calibri"/>
                <w:color w:val="000000"/>
                <w:sz w:val="16"/>
              </w:rPr>
              <w:t>Total autres pays</w:t>
            </w:r>
          </w:p>
        </w:tc>
        <w:tc>
          <w:tcPr>
            <w:tcW w:w="609" w:type="dxa"/>
            <w:tcBorders>
              <w:top w:val="nil"/>
              <w:left w:val="nil"/>
              <w:bottom w:val="single" w:sz="4" w:space="0" w:color="auto"/>
              <w:right w:val="single" w:sz="4" w:space="0" w:color="FFFFFF" w:themeColor="background1"/>
            </w:tcBorders>
            <w:shd w:val="clear" w:color="auto" w:fill="auto"/>
            <w:vAlign w:val="center"/>
            <w:hideMark/>
          </w:tcPr>
          <w:p w14:paraId="3A3A8436"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0,6</w:t>
            </w:r>
          </w:p>
        </w:tc>
        <w:tc>
          <w:tcPr>
            <w:tcW w:w="980" w:type="dxa"/>
            <w:tcBorders>
              <w:top w:val="nil"/>
              <w:left w:val="nil"/>
              <w:bottom w:val="single" w:sz="4" w:space="0" w:color="auto"/>
              <w:right w:val="single" w:sz="4" w:space="0" w:color="FFFFFF" w:themeColor="background1"/>
            </w:tcBorders>
            <w:shd w:val="clear" w:color="auto" w:fill="auto"/>
            <w:vAlign w:val="center"/>
            <w:hideMark/>
          </w:tcPr>
          <w:p w14:paraId="71EEE78D"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17.795,58</w:t>
            </w:r>
          </w:p>
        </w:tc>
        <w:tc>
          <w:tcPr>
            <w:tcW w:w="980" w:type="dxa"/>
            <w:tcBorders>
              <w:top w:val="nil"/>
              <w:left w:val="nil"/>
              <w:bottom w:val="single" w:sz="4" w:space="0" w:color="auto"/>
              <w:right w:val="single" w:sz="4" w:space="0" w:color="FFFFFF" w:themeColor="background1"/>
            </w:tcBorders>
            <w:shd w:val="clear" w:color="auto" w:fill="auto"/>
            <w:vAlign w:val="center"/>
            <w:hideMark/>
          </w:tcPr>
          <w:p w14:paraId="7536078D"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11.315,82</w:t>
            </w:r>
          </w:p>
        </w:tc>
        <w:tc>
          <w:tcPr>
            <w:tcW w:w="827" w:type="dxa"/>
            <w:tcBorders>
              <w:top w:val="nil"/>
              <w:left w:val="nil"/>
              <w:bottom w:val="single" w:sz="4" w:space="0" w:color="auto"/>
              <w:right w:val="single" w:sz="4" w:space="0" w:color="auto"/>
            </w:tcBorders>
            <w:shd w:val="clear" w:color="auto" w:fill="auto"/>
            <w:noWrap/>
            <w:vAlign w:val="center"/>
            <w:hideMark/>
          </w:tcPr>
          <w:p w14:paraId="34CCABD4"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-36,4</w:t>
            </w:r>
          </w:p>
        </w:tc>
        <w:tc>
          <w:tcPr>
            <w:tcW w:w="786"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2AE8A461"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0,1</w:t>
            </w:r>
          </w:p>
        </w:tc>
        <w:tc>
          <w:tcPr>
            <w:tcW w:w="859" w:type="dxa"/>
            <w:tcBorders>
              <w:top w:val="nil"/>
              <w:left w:val="nil"/>
              <w:bottom w:val="single" w:sz="4" w:space="0" w:color="auto"/>
              <w:right w:val="single" w:sz="4" w:space="0" w:color="FFFFFF" w:themeColor="background1"/>
            </w:tcBorders>
            <w:shd w:val="clear" w:color="auto" w:fill="auto"/>
            <w:vAlign w:val="center"/>
            <w:hideMark/>
          </w:tcPr>
          <w:p w14:paraId="39F6F834"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23.062,53</w:t>
            </w:r>
          </w:p>
        </w:tc>
        <w:tc>
          <w:tcPr>
            <w:tcW w:w="859" w:type="dxa"/>
            <w:tcBorders>
              <w:top w:val="nil"/>
              <w:left w:val="nil"/>
              <w:bottom w:val="single" w:sz="4" w:space="0" w:color="auto"/>
              <w:right w:val="single" w:sz="4" w:space="0" w:color="FFFFFF" w:themeColor="background1"/>
            </w:tcBorders>
            <w:shd w:val="clear" w:color="auto" w:fill="auto"/>
            <w:vAlign w:val="center"/>
            <w:hideMark/>
          </w:tcPr>
          <w:p w14:paraId="529CA9FF"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17.751,53</w:t>
            </w:r>
          </w:p>
        </w:tc>
        <w:tc>
          <w:tcPr>
            <w:tcW w:w="639" w:type="dxa"/>
            <w:tcBorders>
              <w:top w:val="nil"/>
              <w:left w:val="nil"/>
              <w:bottom w:val="single" w:sz="4" w:space="0" w:color="auto"/>
              <w:right w:val="nil"/>
            </w:tcBorders>
            <w:shd w:val="clear" w:color="auto" w:fill="auto"/>
            <w:noWrap/>
            <w:vAlign w:val="center"/>
            <w:hideMark/>
          </w:tcPr>
          <w:p w14:paraId="5F3283EF" w14:textId="77777777" w:rsidR="0039673B" w:rsidRPr="00DB20F6" w:rsidRDefault="0039673B" w:rsidP="00C07BA6">
            <w:pPr>
              <w:jc w:val="right"/>
              <w:rPr>
                <w:rFonts w:cstheme="minorHAnsi"/>
                <w:color w:val="000000"/>
                <w:sz w:val="16"/>
                <w:szCs w:val="16"/>
              </w:rPr>
            </w:pPr>
            <w:r w:rsidRPr="00DB20F6">
              <w:rPr>
                <w:rFonts w:ascii="Calibri" w:hAnsi="Calibri"/>
                <w:color w:val="000000"/>
                <w:sz w:val="16"/>
              </w:rPr>
              <w:t>-23,0 %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FFC6209" w14:textId="77777777" w:rsidR="0039673B" w:rsidRPr="00DB20F6" w:rsidRDefault="0039673B" w:rsidP="00C07BA6">
            <w:pPr>
              <w:jc w:val="right"/>
              <w:rPr>
                <w:color w:val="000000"/>
                <w:sz w:val="16"/>
                <w:szCs w:val="16"/>
              </w:rPr>
            </w:pPr>
            <w:r w:rsidRPr="00DB20F6">
              <w:rPr>
                <w:rFonts w:ascii="Calibri" w:hAnsi="Calibri"/>
                <w:color w:val="000000" w:themeColor="text1"/>
                <w:sz w:val="16"/>
              </w:rPr>
              <w:t>156,9</w:t>
            </w:r>
          </w:p>
        </w:tc>
      </w:tr>
      <w:tr w:rsidR="0039673B" w:rsidRPr="00DB20F6" w14:paraId="476B77A3" w14:textId="77777777" w:rsidTr="00C07BA6">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6074E1E" w14:textId="77777777" w:rsidR="0039673B" w:rsidRPr="00DB20F6" w:rsidRDefault="0039673B" w:rsidP="00C07BA6">
            <w:pPr>
              <w:rPr>
                <w:rFonts w:cstheme="minorHAnsi"/>
                <w:b/>
                <w:bCs/>
                <w:color w:val="000000"/>
                <w:sz w:val="16"/>
                <w:szCs w:val="16"/>
              </w:rPr>
            </w:pPr>
            <w:r w:rsidRPr="00DB20F6">
              <w:rPr>
                <w:rFonts w:ascii="Calibri" w:hAnsi="Calibri"/>
                <w:b/>
                <w:color w:val="000000"/>
                <w:sz w:val="16"/>
              </w:rPr>
              <w:t>Total</w:t>
            </w:r>
          </w:p>
        </w:tc>
        <w:tc>
          <w:tcPr>
            <w:tcW w:w="609" w:type="dxa"/>
            <w:tcBorders>
              <w:top w:val="nil"/>
              <w:left w:val="nil"/>
              <w:bottom w:val="single" w:sz="4" w:space="0" w:color="auto"/>
              <w:right w:val="nil"/>
            </w:tcBorders>
            <w:shd w:val="clear" w:color="auto" w:fill="auto"/>
            <w:noWrap/>
            <w:vAlign w:val="center"/>
            <w:hideMark/>
          </w:tcPr>
          <w:p w14:paraId="014CAB85"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100</w:t>
            </w:r>
          </w:p>
        </w:tc>
        <w:tc>
          <w:tcPr>
            <w:tcW w:w="980" w:type="dxa"/>
            <w:tcBorders>
              <w:top w:val="nil"/>
              <w:left w:val="nil"/>
              <w:bottom w:val="single" w:sz="4" w:space="0" w:color="auto"/>
              <w:right w:val="nil"/>
            </w:tcBorders>
            <w:shd w:val="clear" w:color="auto" w:fill="auto"/>
            <w:noWrap/>
            <w:vAlign w:val="center"/>
            <w:hideMark/>
          </w:tcPr>
          <w:p w14:paraId="755CCE47"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1.475.159,18</w:t>
            </w:r>
          </w:p>
        </w:tc>
        <w:tc>
          <w:tcPr>
            <w:tcW w:w="980" w:type="dxa"/>
            <w:tcBorders>
              <w:top w:val="nil"/>
              <w:left w:val="nil"/>
              <w:bottom w:val="single" w:sz="4" w:space="0" w:color="auto"/>
              <w:right w:val="nil"/>
            </w:tcBorders>
            <w:shd w:val="clear" w:color="auto" w:fill="auto"/>
            <w:noWrap/>
            <w:vAlign w:val="center"/>
            <w:hideMark/>
          </w:tcPr>
          <w:p w14:paraId="04626625"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1.218.932,42</w:t>
            </w:r>
          </w:p>
        </w:tc>
        <w:tc>
          <w:tcPr>
            <w:tcW w:w="827" w:type="dxa"/>
            <w:tcBorders>
              <w:top w:val="nil"/>
              <w:left w:val="nil"/>
              <w:bottom w:val="single" w:sz="4" w:space="0" w:color="auto"/>
              <w:right w:val="single" w:sz="4" w:space="0" w:color="auto"/>
            </w:tcBorders>
            <w:shd w:val="clear" w:color="auto" w:fill="auto"/>
            <w:noWrap/>
            <w:vAlign w:val="center"/>
            <w:hideMark/>
          </w:tcPr>
          <w:p w14:paraId="4DF54B1E" w14:textId="77777777" w:rsidR="0039673B" w:rsidRPr="00DB20F6" w:rsidRDefault="0039673B" w:rsidP="00C07BA6">
            <w:pPr>
              <w:spacing w:line="259" w:lineRule="auto"/>
              <w:jc w:val="right"/>
              <w:rPr>
                <w:rFonts w:ascii="Calibri" w:eastAsia="Calibri" w:hAnsi="Calibri" w:cs="Calibri"/>
                <w:sz w:val="16"/>
                <w:szCs w:val="16"/>
              </w:rPr>
            </w:pPr>
            <w:r w:rsidRPr="00DB20F6">
              <w:rPr>
                <w:rFonts w:ascii="Calibri" w:hAnsi="Calibri"/>
                <w:b/>
                <w:color w:val="000000" w:themeColor="text1"/>
                <w:sz w:val="16"/>
              </w:rPr>
              <w:t>-17,4</w:t>
            </w:r>
          </w:p>
        </w:tc>
        <w:tc>
          <w:tcPr>
            <w:tcW w:w="786" w:type="dxa"/>
            <w:tcBorders>
              <w:top w:val="nil"/>
              <w:left w:val="nil"/>
              <w:bottom w:val="single" w:sz="4" w:space="0" w:color="auto"/>
              <w:right w:val="nil"/>
            </w:tcBorders>
            <w:shd w:val="clear" w:color="auto" w:fill="auto"/>
            <w:noWrap/>
            <w:vAlign w:val="center"/>
            <w:hideMark/>
          </w:tcPr>
          <w:p w14:paraId="564FA825"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100</w:t>
            </w:r>
          </w:p>
        </w:tc>
        <w:tc>
          <w:tcPr>
            <w:tcW w:w="859" w:type="dxa"/>
            <w:tcBorders>
              <w:top w:val="nil"/>
              <w:left w:val="nil"/>
              <w:bottom w:val="single" w:sz="4" w:space="0" w:color="auto"/>
              <w:right w:val="nil"/>
            </w:tcBorders>
            <w:shd w:val="clear" w:color="auto" w:fill="auto"/>
            <w:noWrap/>
            <w:vAlign w:val="center"/>
            <w:hideMark/>
          </w:tcPr>
          <w:p w14:paraId="48F28302"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913.205,53</w:t>
            </w:r>
          </w:p>
        </w:tc>
        <w:tc>
          <w:tcPr>
            <w:tcW w:w="859" w:type="dxa"/>
            <w:tcBorders>
              <w:top w:val="nil"/>
              <w:left w:val="nil"/>
              <w:bottom w:val="single" w:sz="4" w:space="0" w:color="auto"/>
              <w:right w:val="nil"/>
            </w:tcBorders>
            <w:shd w:val="clear" w:color="auto" w:fill="auto"/>
            <w:noWrap/>
            <w:vAlign w:val="center"/>
            <w:hideMark/>
          </w:tcPr>
          <w:p w14:paraId="1A98CF54"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801.878,33</w:t>
            </w:r>
          </w:p>
        </w:tc>
        <w:tc>
          <w:tcPr>
            <w:tcW w:w="639" w:type="dxa"/>
            <w:tcBorders>
              <w:top w:val="nil"/>
              <w:left w:val="nil"/>
              <w:bottom w:val="single" w:sz="4" w:space="0" w:color="auto"/>
              <w:right w:val="single" w:sz="4" w:space="0" w:color="auto"/>
            </w:tcBorders>
            <w:shd w:val="clear" w:color="auto" w:fill="auto"/>
            <w:noWrap/>
            <w:vAlign w:val="center"/>
            <w:hideMark/>
          </w:tcPr>
          <w:p w14:paraId="735676B2"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-12,2</w:t>
            </w:r>
          </w:p>
        </w:tc>
        <w:tc>
          <w:tcPr>
            <w:tcW w:w="1046" w:type="dxa"/>
            <w:tcBorders>
              <w:top w:val="nil"/>
              <w:left w:val="nil"/>
              <w:bottom w:val="single" w:sz="4" w:space="0" w:color="auto"/>
              <w:right w:val="single" w:sz="4" w:space="0" w:color="auto"/>
            </w:tcBorders>
            <w:shd w:val="clear" w:color="auto" w:fill="auto"/>
            <w:noWrap/>
            <w:vAlign w:val="center"/>
            <w:hideMark/>
          </w:tcPr>
          <w:p w14:paraId="571478CF" w14:textId="77777777" w:rsidR="0039673B" w:rsidRPr="00DB20F6" w:rsidRDefault="0039673B" w:rsidP="00C07BA6">
            <w:pPr>
              <w:jc w:val="right"/>
              <w:rPr>
                <w:rFonts w:cstheme="minorHAnsi"/>
                <w:b/>
                <w:bCs/>
                <w:color w:val="000000"/>
                <w:sz w:val="16"/>
                <w:szCs w:val="16"/>
              </w:rPr>
            </w:pPr>
            <w:r w:rsidRPr="00DB20F6">
              <w:rPr>
                <w:rFonts w:ascii="Calibri" w:hAnsi="Calibri"/>
                <w:b/>
                <w:color w:val="000000"/>
                <w:sz w:val="16"/>
              </w:rPr>
              <w:t>65,8</w:t>
            </w:r>
          </w:p>
        </w:tc>
      </w:tr>
      <w:tr w:rsidR="0039673B" w:rsidRPr="00DB20F6" w14:paraId="3BB9401C" w14:textId="77777777" w:rsidTr="00C07BA6">
        <w:tc>
          <w:tcPr>
            <w:tcW w:w="1229" w:type="dxa"/>
            <w:tcBorders>
              <w:top w:val="nil"/>
              <w:left w:val="nil"/>
              <w:bottom w:val="nil"/>
              <w:right w:val="nil"/>
            </w:tcBorders>
            <w:shd w:val="clear" w:color="auto" w:fill="auto"/>
            <w:noWrap/>
            <w:vAlign w:val="bottom"/>
            <w:hideMark/>
          </w:tcPr>
          <w:p w14:paraId="00D98B46" w14:textId="77777777" w:rsidR="0039673B" w:rsidRPr="00DB20F6" w:rsidRDefault="0039673B" w:rsidP="00C07BA6">
            <w:pPr>
              <w:rPr>
                <w:rFonts w:cstheme="minorHAnsi"/>
                <w:color w:val="000000"/>
                <w:sz w:val="16"/>
                <w:szCs w:val="16"/>
              </w:rPr>
            </w:pPr>
            <w:r w:rsidRPr="00DB20F6">
              <w:rPr>
                <w:color w:val="000000"/>
                <w:sz w:val="16"/>
              </w:rPr>
              <w:t>Source : ICN</w:t>
            </w:r>
          </w:p>
        </w:tc>
        <w:tc>
          <w:tcPr>
            <w:tcW w:w="609" w:type="dxa"/>
            <w:tcBorders>
              <w:top w:val="nil"/>
              <w:left w:val="nil"/>
              <w:bottom w:val="nil"/>
              <w:right w:val="nil"/>
            </w:tcBorders>
            <w:shd w:val="clear" w:color="auto" w:fill="auto"/>
            <w:noWrap/>
            <w:vAlign w:val="bottom"/>
            <w:hideMark/>
          </w:tcPr>
          <w:p w14:paraId="34C0B4DA" w14:textId="77777777" w:rsidR="0039673B" w:rsidRPr="00DB20F6" w:rsidRDefault="0039673B" w:rsidP="00C07BA6">
            <w:pPr>
              <w:rPr>
                <w:rFonts w:cstheme="minorHAnsi"/>
                <w:color w:val="000000"/>
                <w:sz w:val="16"/>
                <w:szCs w:val="16"/>
              </w:rPr>
            </w:pPr>
          </w:p>
        </w:tc>
        <w:tc>
          <w:tcPr>
            <w:tcW w:w="980" w:type="dxa"/>
            <w:tcBorders>
              <w:top w:val="nil"/>
              <w:left w:val="nil"/>
              <w:bottom w:val="nil"/>
              <w:right w:val="nil"/>
            </w:tcBorders>
            <w:shd w:val="clear" w:color="auto" w:fill="auto"/>
            <w:noWrap/>
            <w:vAlign w:val="bottom"/>
            <w:hideMark/>
          </w:tcPr>
          <w:p w14:paraId="5FE6E06B" w14:textId="77777777" w:rsidR="0039673B" w:rsidRPr="00DB20F6" w:rsidRDefault="0039673B" w:rsidP="00C07BA6">
            <w:pPr>
              <w:rPr>
                <w:rFonts w:cstheme="minorHAnsi"/>
                <w:sz w:val="16"/>
                <w:szCs w:val="16"/>
              </w:rPr>
            </w:pPr>
          </w:p>
        </w:tc>
        <w:tc>
          <w:tcPr>
            <w:tcW w:w="980" w:type="dxa"/>
            <w:tcBorders>
              <w:top w:val="nil"/>
              <w:left w:val="nil"/>
              <w:bottom w:val="nil"/>
              <w:right w:val="nil"/>
            </w:tcBorders>
            <w:shd w:val="clear" w:color="auto" w:fill="auto"/>
            <w:noWrap/>
            <w:vAlign w:val="bottom"/>
            <w:hideMark/>
          </w:tcPr>
          <w:p w14:paraId="373C4A51" w14:textId="77777777" w:rsidR="0039673B" w:rsidRPr="00DB20F6" w:rsidRDefault="0039673B" w:rsidP="00C07BA6">
            <w:pPr>
              <w:rPr>
                <w:rFonts w:cstheme="minorHAnsi"/>
                <w:sz w:val="16"/>
                <w:szCs w:val="16"/>
              </w:rPr>
            </w:pPr>
          </w:p>
        </w:tc>
        <w:tc>
          <w:tcPr>
            <w:tcW w:w="827" w:type="dxa"/>
            <w:tcBorders>
              <w:top w:val="nil"/>
              <w:left w:val="nil"/>
              <w:bottom w:val="nil"/>
              <w:right w:val="nil"/>
            </w:tcBorders>
            <w:shd w:val="clear" w:color="auto" w:fill="auto"/>
            <w:noWrap/>
            <w:vAlign w:val="bottom"/>
            <w:hideMark/>
          </w:tcPr>
          <w:p w14:paraId="1EFBD4B4" w14:textId="77777777" w:rsidR="0039673B" w:rsidRPr="00DB20F6" w:rsidRDefault="0039673B" w:rsidP="00C07BA6">
            <w:pPr>
              <w:rPr>
                <w:rFonts w:cstheme="minorHAnsi"/>
                <w:sz w:val="16"/>
                <w:szCs w:val="16"/>
              </w:rPr>
            </w:pPr>
          </w:p>
        </w:tc>
        <w:tc>
          <w:tcPr>
            <w:tcW w:w="786" w:type="dxa"/>
            <w:tcBorders>
              <w:top w:val="nil"/>
              <w:left w:val="nil"/>
              <w:bottom w:val="nil"/>
              <w:right w:val="nil"/>
            </w:tcBorders>
            <w:shd w:val="clear" w:color="auto" w:fill="auto"/>
            <w:noWrap/>
            <w:vAlign w:val="bottom"/>
            <w:hideMark/>
          </w:tcPr>
          <w:p w14:paraId="3E1BB79C" w14:textId="77777777" w:rsidR="0039673B" w:rsidRPr="00DB20F6" w:rsidRDefault="0039673B" w:rsidP="00C07BA6">
            <w:pPr>
              <w:rPr>
                <w:rFonts w:cstheme="minorHAnsi"/>
                <w:sz w:val="16"/>
                <w:szCs w:val="16"/>
              </w:rPr>
            </w:pPr>
          </w:p>
        </w:tc>
        <w:tc>
          <w:tcPr>
            <w:tcW w:w="859" w:type="dxa"/>
            <w:tcBorders>
              <w:top w:val="nil"/>
              <w:left w:val="nil"/>
              <w:bottom w:val="nil"/>
              <w:right w:val="nil"/>
            </w:tcBorders>
            <w:shd w:val="clear" w:color="auto" w:fill="auto"/>
            <w:noWrap/>
            <w:vAlign w:val="bottom"/>
            <w:hideMark/>
          </w:tcPr>
          <w:p w14:paraId="485FBAAE" w14:textId="77777777" w:rsidR="0039673B" w:rsidRPr="00DB20F6" w:rsidRDefault="0039673B" w:rsidP="00C07BA6">
            <w:pPr>
              <w:rPr>
                <w:rFonts w:cstheme="minorHAnsi"/>
                <w:sz w:val="16"/>
                <w:szCs w:val="16"/>
              </w:rPr>
            </w:pPr>
          </w:p>
        </w:tc>
        <w:tc>
          <w:tcPr>
            <w:tcW w:w="859" w:type="dxa"/>
            <w:tcBorders>
              <w:top w:val="nil"/>
              <w:left w:val="nil"/>
              <w:bottom w:val="nil"/>
              <w:right w:val="nil"/>
            </w:tcBorders>
            <w:shd w:val="clear" w:color="auto" w:fill="auto"/>
            <w:noWrap/>
            <w:vAlign w:val="bottom"/>
            <w:hideMark/>
          </w:tcPr>
          <w:p w14:paraId="1B898B57" w14:textId="77777777" w:rsidR="0039673B" w:rsidRPr="00DB20F6" w:rsidRDefault="0039673B" w:rsidP="00C07BA6">
            <w:pPr>
              <w:rPr>
                <w:rFonts w:cstheme="minorHAnsi"/>
                <w:sz w:val="16"/>
                <w:szCs w:val="16"/>
              </w:rPr>
            </w:pPr>
          </w:p>
        </w:tc>
        <w:tc>
          <w:tcPr>
            <w:tcW w:w="639" w:type="dxa"/>
            <w:tcBorders>
              <w:top w:val="nil"/>
              <w:left w:val="nil"/>
              <w:bottom w:val="nil"/>
              <w:right w:val="nil"/>
            </w:tcBorders>
            <w:shd w:val="clear" w:color="auto" w:fill="auto"/>
            <w:noWrap/>
            <w:vAlign w:val="bottom"/>
            <w:hideMark/>
          </w:tcPr>
          <w:p w14:paraId="06B35230" w14:textId="77777777" w:rsidR="0039673B" w:rsidRPr="00DB20F6" w:rsidRDefault="0039673B" w:rsidP="00C07BA6">
            <w:pPr>
              <w:rPr>
                <w:rFonts w:cstheme="minorHAnsi"/>
                <w:sz w:val="16"/>
                <w:szCs w:val="16"/>
              </w:rPr>
            </w:pPr>
          </w:p>
        </w:tc>
        <w:tc>
          <w:tcPr>
            <w:tcW w:w="1046" w:type="dxa"/>
            <w:tcBorders>
              <w:top w:val="nil"/>
              <w:left w:val="nil"/>
              <w:bottom w:val="nil"/>
              <w:right w:val="nil"/>
            </w:tcBorders>
            <w:shd w:val="clear" w:color="auto" w:fill="auto"/>
            <w:noWrap/>
            <w:vAlign w:val="bottom"/>
            <w:hideMark/>
          </w:tcPr>
          <w:p w14:paraId="2864BD27" w14:textId="77777777" w:rsidR="0039673B" w:rsidRPr="00DB20F6" w:rsidRDefault="0039673B" w:rsidP="00C07BA6">
            <w:pPr>
              <w:rPr>
                <w:rFonts w:cstheme="minorHAnsi"/>
                <w:sz w:val="16"/>
                <w:szCs w:val="16"/>
              </w:rPr>
            </w:pPr>
          </w:p>
        </w:tc>
      </w:tr>
    </w:tbl>
    <w:p w14:paraId="4CDD3BD3" w14:textId="77777777" w:rsidR="0039673B" w:rsidRPr="00DB20F6" w:rsidRDefault="0039673B" w:rsidP="0039673B">
      <w:pPr>
        <w:spacing w:line="257" w:lineRule="auto"/>
        <w:jc w:val="both"/>
        <w:rPr>
          <w:rFonts w:ascii="Calibri" w:eastAsia="Calibri" w:hAnsi="Calibri" w:cs="Calibri"/>
          <w:b/>
          <w:bCs/>
          <w:u w:val="single"/>
        </w:rPr>
      </w:pPr>
    </w:p>
    <w:p w14:paraId="5E4CFCB2" w14:textId="77777777" w:rsidR="0039673B" w:rsidRPr="00DB20F6" w:rsidRDefault="0039673B" w:rsidP="0039673B">
      <w:pPr>
        <w:rPr>
          <w:rFonts w:ascii="Calibri" w:eastAsia="Calibri" w:hAnsi="Calibri" w:cs="Calibri"/>
          <w:b/>
          <w:bCs/>
        </w:rPr>
      </w:pPr>
      <w:r w:rsidRPr="00DB20F6">
        <w:rPr>
          <w:rFonts w:ascii="Calibri" w:hAnsi="Calibri"/>
          <w:b/>
          <w:bCs/>
        </w:rPr>
        <w:br w:type="page"/>
      </w:r>
    </w:p>
    <w:p w14:paraId="3BF763DD" w14:textId="77777777" w:rsidR="0039673B" w:rsidRPr="00DB20F6" w:rsidRDefault="0039673B" w:rsidP="0039673B">
      <w:pPr>
        <w:spacing w:line="257" w:lineRule="auto"/>
        <w:jc w:val="both"/>
        <w:rPr>
          <w:rFonts w:ascii="Calibri" w:eastAsia="Calibri" w:hAnsi="Calibri" w:cs="Calibri"/>
          <w:b/>
          <w:bCs/>
          <w:u w:val="single"/>
        </w:rPr>
      </w:pPr>
      <w:r w:rsidRPr="00DB20F6">
        <w:rPr>
          <w:rFonts w:ascii="Calibri" w:hAnsi="Calibri"/>
          <w:b/>
          <w:u w:val="single"/>
        </w:rPr>
        <w:lastRenderedPageBreak/>
        <w:t>La lumière au bout du tunnel, ce n'est pas encore pour maintenant</w:t>
      </w:r>
    </w:p>
    <w:p w14:paraId="1CBEDA72" w14:textId="77777777" w:rsidR="0039673B" w:rsidRPr="00DB20F6" w:rsidRDefault="0039673B" w:rsidP="0039673B">
      <w:pPr>
        <w:spacing w:line="257" w:lineRule="auto"/>
        <w:jc w:val="both"/>
        <w:rPr>
          <w:rFonts w:ascii="Calibri" w:eastAsia="Calibri" w:hAnsi="Calibri" w:cs="Calibri"/>
        </w:rPr>
      </w:pPr>
    </w:p>
    <w:p w14:paraId="60CF13FD" w14:textId="77777777" w:rsidR="0039673B" w:rsidRPr="00DB20F6" w:rsidRDefault="0039673B" w:rsidP="0039673B">
      <w:pPr>
        <w:spacing w:line="257" w:lineRule="auto"/>
        <w:jc w:val="both"/>
        <w:rPr>
          <w:rFonts w:ascii="Calibri" w:eastAsia="Calibri" w:hAnsi="Calibri" w:cs="Calibri"/>
        </w:rPr>
      </w:pPr>
      <w:r w:rsidRPr="00DB20F6">
        <w:rPr>
          <w:rFonts w:ascii="Calibri" w:hAnsi="Calibri"/>
        </w:rPr>
        <w:t>A la suite de la crise énergétique et de l'inflation élevée, les banques centrales ont relevé leurs principaux taux d'intérêt après une longue période de taux nuls ou négatifs, dans le but de modérer l'envolée de l'inflation. Cela n'a fonctionné qu'en partie et a entraîné des taux d'intérêt plus élevés pour les entreprises et les consommateurs. Ainsi, il est beaucoup plus cher de construire, ce qui a une incidence sur le secteur de l'ameublement. Moins de bâtiments neufs signifie moins d'aménagements et d'intérieurs/extérieurs neufs, qui n'interviennent en outre qu'à la fin du processus de construction.</w:t>
      </w:r>
    </w:p>
    <w:p w14:paraId="19D26F44" w14:textId="77777777" w:rsidR="0039673B" w:rsidRPr="00DB20F6" w:rsidRDefault="0039673B" w:rsidP="0039673B">
      <w:pPr>
        <w:spacing w:line="257" w:lineRule="auto"/>
        <w:jc w:val="both"/>
        <w:rPr>
          <w:rFonts w:ascii="Calibri" w:eastAsia="Calibri" w:hAnsi="Calibri" w:cs="Calibri"/>
        </w:rPr>
      </w:pPr>
      <w:r w:rsidRPr="00DB20F6">
        <w:rPr>
          <w:rFonts w:ascii="Calibri" w:hAnsi="Calibri"/>
        </w:rPr>
        <w:t>La flambée récente de la violence au Moyen-Orient provoque de nouvelles tensions sur les marchés de l'énergie et ne fait qu'accroître l'incertitude dans le chef des consommateurs comme des producteurs. Ces derniers ne prévoient pas directement une reprise de la conjoncture dans l'ameublement et se tournent désormais vers 2024 et 2025.</w:t>
      </w:r>
    </w:p>
    <w:p w14:paraId="4B3ACA74" w14:textId="77777777" w:rsidR="0039673B" w:rsidRPr="00DB20F6" w:rsidRDefault="0039673B" w:rsidP="0039673B">
      <w:pPr>
        <w:spacing w:line="257" w:lineRule="auto"/>
        <w:jc w:val="both"/>
        <w:rPr>
          <w:rFonts w:ascii="Calibri" w:eastAsia="Calibri" w:hAnsi="Calibri" w:cs="Calibri"/>
        </w:rPr>
      </w:pPr>
      <w:r w:rsidRPr="00DB20F6">
        <w:rPr>
          <w:rFonts w:ascii="Calibri" w:hAnsi="Calibri"/>
        </w:rPr>
        <w:t>Ils ne baissent pas les bras pour autant et travaillent d'arrache-pied à leur propre avenir en mettant l'accent sur le développement de produits, le design et l'innovation, sans esquiver les défis posés par le Pacte vert pour l'Europe axé sur la circularité et la durabilité.</w:t>
      </w:r>
    </w:p>
    <w:p w14:paraId="22EF38B1" w14:textId="77777777" w:rsidR="0039673B" w:rsidRPr="00DB20F6" w:rsidRDefault="0039673B" w:rsidP="0039673B">
      <w:pPr>
        <w:spacing w:line="257" w:lineRule="auto"/>
        <w:jc w:val="both"/>
        <w:rPr>
          <w:rFonts w:ascii="Calibri" w:eastAsia="Calibri" w:hAnsi="Calibri" w:cs="Calibri"/>
        </w:rPr>
      </w:pPr>
      <w:proofErr w:type="spellStart"/>
      <w:r w:rsidRPr="00DB20F6">
        <w:rPr>
          <w:rFonts w:ascii="Calibri" w:hAnsi="Calibri"/>
        </w:rPr>
        <w:t>Fedustria</w:t>
      </w:r>
      <w:proofErr w:type="spellEnd"/>
      <w:r w:rsidRPr="00DB20F6">
        <w:rPr>
          <w:rFonts w:ascii="Calibri" w:hAnsi="Calibri"/>
        </w:rPr>
        <w:t xml:space="preserve"> accompagne ses entreprises membres dans ce processus et a en outre lancé cette année un projet visant à inciter les jeunes à opter pour une formation et un emploi dans les secteurs du bois et de l'ameublement.</w:t>
      </w:r>
    </w:p>
    <w:p w14:paraId="1D9DEA5F" w14:textId="77777777" w:rsidR="0039673B" w:rsidRPr="00DB20F6" w:rsidRDefault="0039673B" w:rsidP="0039673B">
      <w:pPr>
        <w:pStyle w:val="Heading2"/>
        <w:keepNext w:val="0"/>
        <w:widowControl w:val="0"/>
        <w:shd w:val="clear" w:color="auto" w:fill="FFFFFF"/>
        <w:rPr>
          <w:rFonts w:ascii="Arial" w:hAnsi="Arial" w:cs="Arial"/>
          <w:color w:val="202124"/>
        </w:rPr>
      </w:pPr>
      <w:r w:rsidRPr="00DB20F6">
        <w:rPr>
          <w:rFonts w:asciiTheme="minorHAnsi" w:hAnsiTheme="minorHAnsi"/>
          <w:sz w:val="22"/>
        </w:rPr>
        <w:t xml:space="preserve">Par ailleurs, la fédération assiste ses membres dans leurs activités de promotion et d'exportation en organisant des stands collectifs et des voyages de prospection à l'étranger. Ce souvent en collaboration avec FIT, Flanders Investment &amp; Trade, une organisation avec laquelle la fédération a un partenariat stratégique, et avec AWEX, l’Agence Wallonne à </w:t>
      </w:r>
      <w:r w:rsidRPr="00DB20F6">
        <w:rPr>
          <w:rFonts w:asciiTheme="minorHAnsi" w:hAnsiTheme="minorHAnsi"/>
          <w:color w:val="202124"/>
          <w:sz w:val="22"/>
        </w:rPr>
        <w:t>l’Exportation et aux Investissements étrangers.</w:t>
      </w:r>
    </w:p>
    <w:p w14:paraId="3E9B4AFB" w14:textId="77777777" w:rsidR="0039673B" w:rsidRPr="00DB20F6" w:rsidRDefault="0039673B" w:rsidP="0039673B">
      <w:pPr>
        <w:pStyle w:val="BodyText"/>
        <w:pBdr>
          <w:bottom w:val="single" w:sz="4" w:space="1" w:color="auto"/>
        </w:pBdr>
        <w:rPr>
          <w:rFonts w:asciiTheme="minorHAnsi" w:hAnsiTheme="minorHAnsi" w:cstheme="minorHAnsi"/>
          <w:highlight w:val="yellow"/>
        </w:rPr>
      </w:pPr>
    </w:p>
    <w:p w14:paraId="66986276" w14:textId="77777777" w:rsidR="0039673B" w:rsidRPr="00DB20F6" w:rsidRDefault="0039673B" w:rsidP="0039673B">
      <w:pPr>
        <w:pStyle w:val="BodyText"/>
        <w:pBdr>
          <w:bottom w:val="single" w:sz="4" w:space="1" w:color="auto"/>
        </w:pBdr>
        <w:rPr>
          <w:rFonts w:asciiTheme="minorHAnsi" w:hAnsiTheme="minorHAnsi" w:cstheme="minorBidi"/>
          <w:highlight w:val="yellow"/>
        </w:rPr>
      </w:pPr>
    </w:p>
    <w:p w14:paraId="740B30CC" w14:textId="77777777" w:rsidR="000409CE" w:rsidRDefault="000409CE" w:rsidP="0039673B">
      <w:pPr>
        <w:pStyle w:val="BodyText"/>
        <w:rPr>
          <w:rFonts w:asciiTheme="minorHAnsi" w:hAnsiTheme="minorHAnsi"/>
        </w:rPr>
      </w:pPr>
    </w:p>
    <w:p w14:paraId="24352258" w14:textId="2ACC2098" w:rsidR="0039673B" w:rsidRDefault="0039673B" w:rsidP="0039673B">
      <w:pPr>
        <w:pStyle w:val="BodyText"/>
        <w:rPr>
          <w:rFonts w:asciiTheme="minorHAnsi" w:hAnsiTheme="minorHAnsi"/>
        </w:rPr>
      </w:pPr>
      <w:r w:rsidRPr="00DB20F6">
        <w:rPr>
          <w:rFonts w:asciiTheme="minorHAnsi" w:hAnsiTheme="minorHAnsi"/>
        </w:rPr>
        <w:t>Source : Fedustria</w:t>
      </w:r>
    </w:p>
    <w:p w14:paraId="68815445" w14:textId="45EC6928" w:rsidR="003A7539" w:rsidRPr="00DB20F6" w:rsidRDefault="000409CE" w:rsidP="0039673B">
      <w:pPr>
        <w:pStyle w:val="BodyText"/>
        <w:rPr>
          <w:rFonts w:asciiTheme="minorHAnsi" w:hAnsiTheme="minorHAnsi" w:cstheme="minorBidi"/>
        </w:rPr>
      </w:pPr>
      <w:r>
        <w:rPr>
          <w:rFonts w:asciiTheme="minorHAnsi" w:hAnsiTheme="minorHAnsi" w:cstheme="minorHAnsi"/>
        </w:rPr>
        <w:drawing>
          <wp:inline distT="0" distB="0" distL="0" distR="0" wp14:anchorId="198B0098" wp14:editId="79E4EBEC">
            <wp:extent cx="1743075" cy="808787"/>
            <wp:effectExtent l="0" t="0" r="0" b="0"/>
            <wp:docPr id="1353600123" name="Picture 2" descr="A logo with yellow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00123" name="Picture 2" descr="A logo with yellow and black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2180" cy="817652"/>
                    </a:xfrm>
                    <a:prstGeom prst="rect">
                      <a:avLst/>
                    </a:prstGeom>
                  </pic:spPr>
                </pic:pic>
              </a:graphicData>
            </a:graphic>
          </wp:inline>
        </w:drawing>
      </w:r>
    </w:p>
    <w:p w14:paraId="257346F6" w14:textId="77777777" w:rsidR="0039673B" w:rsidRPr="00DB20F6" w:rsidRDefault="0039673B" w:rsidP="0039673B">
      <w:pPr>
        <w:pStyle w:val="BodyText"/>
        <w:rPr>
          <w:rFonts w:asciiTheme="minorHAnsi" w:hAnsiTheme="minorHAnsi" w:cstheme="minorBidi"/>
        </w:rPr>
      </w:pPr>
    </w:p>
    <w:p w14:paraId="52761FA9" w14:textId="77777777" w:rsidR="0039673B" w:rsidRPr="00DB20F6" w:rsidRDefault="0039673B" w:rsidP="0039673B">
      <w:pPr>
        <w:jc w:val="both"/>
        <w:textAlignment w:val="center"/>
      </w:pPr>
      <w:proofErr w:type="spellStart"/>
      <w:r w:rsidRPr="00DB20F6">
        <w:rPr>
          <w:i/>
        </w:rPr>
        <w:t>Fedustria</w:t>
      </w:r>
      <w:proofErr w:type="spellEnd"/>
      <w:r w:rsidRPr="00DB20F6">
        <w:rPr>
          <w:i/>
        </w:rPr>
        <w:t xml:space="preserve"> est la fédération belge de l’industrie du textile, du bois et de l’ameublement, et du commerce d’importation de bois. Nous représentons en Belgique près de 1.660 entreprises (dont plus de 90 % sont des PME), qui créent ensemble 36.200 emplois directs et réalisent un chiffre d'affaires de 12 milliards d'euros, dont environ 70 % proviennent de l'exportation.</w:t>
      </w:r>
    </w:p>
    <w:p w14:paraId="18A97D80" w14:textId="77777777" w:rsidR="0039673B" w:rsidRPr="00DB20F6" w:rsidRDefault="0039673B" w:rsidP="0039673B">
      <w:pPr>
        <w:pStyle w:val="BodyText"/>
        <w:rPr>
          <w:rFonts w:asciiTheme="minorHAnsi" w:hAnsiTheme="minorHAnsi" w:cstheme="minorBidi"/>
          <w:i/>
          <w:iCs/>
        </w:rPr>
      </w:pPr>
    </w:p>
    <w:p w14:paraId="39404894" w14:textId="77777777" w:rsidR="0039673B" w:rsidRPr="00DB20F6" w:rsidRDefault="0039673B" w:rsidP="0039673B">
      <w:pPr>
        <w:pStyle w:val="BodyText"/>
        <w:rPr>
          <w:rFonts w:asciiTheme="minorHAnsi" w:hAnsiTheme="minorHAnsi" w:cstheme="minorBidi"/>
          <w:i/>
          <w:iCs/>
        </w:rPr>
      </w:pPr>
      <w:r w:rsidRPr="00DB20F6">
        <w:rPr>
          <w:rFonts w:asciiTheme="minorHAnsi" w:hAnsiTheme="minorHAnsi"/>
          <w:i/>
        </w:rPr>
        <w:t>Considérée individuellement, l’industrie belge de l’ameublement réalise un chiffre d’affaires de 2,3 milliards d'euros et occupe 9.800 personnes.</w:t>
      </w:r>
    </w:p>
    <w:p w14:paraId="722D2EA1" w14:textId="77777777" w:rsidR="0039673B" w:rsidRPr="00DB20F6" w:rsidRDefault="0039673B" w:rsidP="0039673B">
      <w:pPr>
        <w:pStyle w:val="BodyText"/>
        <w:rPr>
          <w:rFonts w:asciiTheme="minorHAnsi" w:hAnsiTheme="minorHAnsi" w:cstheme="minorBidi"/>
          <w:i/>
          <w:iCs/>
        </w:rPr>
      </w:pPr>
    </w:p>
    <w:p w14:paraId="4A62C0A9" w14:textId="77777777" w:rsidR="0039673B" w:rsidRPr="00DB20F6" w:rsidRDefault="0039673B" w:rsidP="0039673B">
      <w:pPr>
        <w:pStyle w:val="BodyText"/>
        <w:tabs>
          <w:tab w:val="clear" w:pos="3884"/>
        </w:tabs>
        <w:rPr>
          <w:rFonts w:asciiTheme="minorHAnsi" w:hAnsiTheme="minorHAnsi" w:cstheme="minorBidi"/>
        </w:rPr>
      </w:pPr>
      <w:r w:rsidRPr="00DB20F6">
        <w:rPr>
          <w:rFonts w:asciiTheme="minorHAnsi" w:hAnsiTheme="minorHAnsi"/>
          <w:u w:val="single"/>
        </w:rPr>
        <w:t>Pour plus d'informations</w:t>
      </w:r>
      <w:r w:rsidRPr="00DB20F6">
        <w:rPr>
          <w:rFonts w:asciiTheme="minorHAnsi" w:hAnsiTheme="minorHAnsi"/>
        </w:rPr>
        <w:t> :</w:t>
      </w:r>
    </w:p>
    <w:p w14:paraId="4985FC12" w14:textId="77777777" w:rsidR="0039673B" w:rsidRPr="00DB20F6" w:rsidRDefault="0039673B" w:rsidP="0039673B">
      <w:pPr>
        <w:pStyle w:val="BodyText"/>
        <w:tabs>
          <w:tab w:val="clear" w:pos="3884"/>
        </w:tabs>
        <w:rPr>
          <w:rStyle w:val="Hyperlink"/>
          <w:rFonts w:asciiTheme="minorHAnsi" w:eastAsiaTheme="minorEastAsia" w:hAnsiTheme="minorHAnsi" w:cstheme="minorBidi"/>
        </w:rPr>
      </w:pPr>
      <w:r w:rsidRPr="00DB20F6">
        <w:rPr>
          <w:rFonts w:asciiTheme="minorHAnsi" w:hAnsiTheme="minorHAnsi"/>
        </w:rPr>
        <w:t>Filip De Jaeger, COO, +32 486 898184, filip.de.jaeger@fedustria.be</w:t>
      </w:r>
    </w:p>
    <w:p w14:paraId="34240EDD" w14:textId="77777777" w:rsidR="0039673B" w:rsidRPr="00DB20F6" w:rsidRDefault="0039673B" w:rsidP="0039673B">
      <w:pPr>
        <w:tabs>
          <w:tab w:val="left" w:pos="5387"/>
        </w:tabs>
        <w:jc w:val="both"/>
        <w:rPr>
          <w:rFonts w:cstheme="minorHAnsi"/>
        </w:rPr>
      </w:pPr>
      <w:r w:rsidRPr="00DB20F6">
        <w:t>Katja De Vos, Responsable de la communication, +32 476 316467, katja.devos@fedustria.be</w:t>
      </w:r>
    </w:p>
    <w:p w14:paraId="575D5242" w14:textId="77B8D7C4" w:rsidR="00701D7E" w:rsidRDefault="00701D7E" w:rsidP="000409CE">
      <w:pPr>
        <w:pStyle w:val="ListParagraph"/>
        <w:numPr>
          <w:ilvl w:val="0"/>
          <w:numId w:val="5"/>
        </w:numPr>
        <w:rPr>
          <w:b/>
          <w:bCs/>
        </w:rPr>
      </w:pPr>
      <w:r w:rsidRPr="000409CE">
        <w:rPr>
          <w:b/>
          <w:bCs/>
        </w:rPr>
        <w:lastRenderedPageBreak/>
        <w:t>SALON DU MEUBLE</w:t>
      </w:r>
      <w:r w:rsidR="000409CE">
        <w:rPr>
          <w:b/>
          <w:bCs/>
        </w:rPr>
        <w:t xml:space="preserve"> BRUXELLES</w:t>
      </w:r>
    </w:p>
    <w:p w14:paraId="688AD304" w14:textId="77777777" w:rsidR="000409CE" w:rsidRPr="000409CE" w:rsidRDefault="000409CE" w:rsidP="000409CE">
      <w:pPr>
        <w:pStyle w:val="ListParagraph"/>
        <w:rPr>
          <w:b/>
          <w:bCs/>
        </w:rPr>
      </w:pPr>
    </w:p>
    <w:p w14:paraId="25FC37BC" w14:textId="47A23FCA" w:rsidR="00701D7E" w:rsidRPr="000F3893" w:rsidRDefault="00701D7E" w:rsidP="00701D7E">
      <w:pPr>
        <w:rPr>
          <w:b/>
          <w:bCs/>
        </w:rPr>
      </w:pPr>
      <w:r w:rsidRPr="000F3893">
        <w:rPr>
          <w:b/>
          <w:bCs/>
        </w:rPr>
        <w:t>CAMPAGNE 2023</w:t>
      </w:r>
      <w:r w:rsidR="000409CE">
        <w:rPr>
          <w:b/>
          <w:bCs/>
        </w:rPr>
        <w:t xml:space="preserve"> - </w:t>
      </w:r>
      <w:r w:rsidR="008529CA" w:rsidRPr="007520B4">
        <w:rPr>
          <w:b/>
          <w:bCs/>
        </w:rPr>
        <w:t xml:space="preserve">The </w:t>
      </w:r>
      <w:r w:rsidRPr="007520B4">
        <w:rPr>
          <w:b/>
          <w:bCs/>
        </w:rPr>
        <w:t xml:space="preserve">Future </w:t>
      </w:r>
      <w:proofErr w:type="spellStart"/>
      <w:r w:rsidRPr="007520B4">
        <w:rPr>
          <w:b/>
          <w:bCs/>
        </w:rPr>
        <w:t>is</w:t>
      </w:r>
      <w:proofErr w:type="spellEnd"/>
      <w:r w:rsidRPr="007520B4">
        <w:rPr>
          <w:b/>
          <w:bCs/>
        </w:rPr>
        <w:t xml:space="preserve"> </w:t>
      </w:r>
      <w:proofErr w:type="spellStart"/>
      <w:r w:rsidRPr="007520B4">
        <w:rPr>
          <w:b/>
          <w:bCs/>
        </w:rPr>
        <w:t>Furnature</w:t>
      </w:r>
      <w:proofErr w:type="spellEnd"/>
    </w:p>
    <w:p w14:paraId="57F2E303" w14:textId="5D094B73" w:rsidR="00F6682E" w:rsidRDefault="00701D7E">
      <w:r>
        <w:t xml:space="preserve">Depuis </w:t>
      </w:r>
      <w:r w:rsidR="009020BB">
        <w:t>plus de vingt ans</w:t>
      </w:r>
      <w:r>
        <w:t xml:space="preserve">, le Salon du Meuble présente chaque année une nouvelle campagne. Celle-ci </w:t>
      </w:r>
      <w:r w:rsidR="002D2AF6">
        <w:t>intègre</w:t>
      </w:r>
      <w:r>
        <w:t xml:space="preserve"> </w:t>
      </w:r>
      <w:r w:rsidR="002D2AF6">
        <w:t xml:space="preserve">traditionnellement </w:t>
      </w:r>
      <w:r>
        <w:t xml:space="preserve">plusieurs éléments récurrents : </w:t>
      </w:r>
      <w:r w:rsidR="002D2AF6">
        <w:t>d</w:t>
      </w:r>
      <w:r>
        <w:t>es meubles, une esthétique soignée, une atmosphère conviviale et chaleureuse et un caractère professionnel. Autant d’</w:t>
      </w:r>
      <w:r w:rsidR="002D2AF6">
        <w:t>aspects</w:t>
      </w:r>
      <w:r>
        <w:t xml:space="preserve"> qu’on retrouve également dans la campagne de cette année, quoiqu’avec un accent sur la nature. </w:t>
      </w:r>
      <w:r w:rsidR="002D2AF6">
        <w:t>Mais on y trouve aussi un autre élément</w:t>
      </w:r>
      <w:r>
        <w:t xml:space="preserve"> essentiel</w:t>
      </w:r>
      <w:r w:rsidR="002D2AF6">
        <w:t xml:space="preserve">, </w:t>
      </w:r>
      <w:r>
        <w:t xml:space="preserve">qui ne figurait pas dans les campagnes précédentes et qui fait pourtant partie du cœur de nos activités : l’avenir ! L’adoption d’un mode de pensée et d’une stratégie commerciale tournés vers l’avenir </w:t>
      </w:r>
      <w:r w:rsidR="007A5D3A">
        <w:t>est</w:t>
      </w:r>
      <w:r w:rsidR="002D2AF6">
        <w:t xml:space="preserve"> au </w:t>
      </w:r>
      <w:r>
        <w:t xml:space="preserve">centre de la formule </w:t>
      </w:r>
      <w:r w:rsidR="002D2AF6">
        <w:t>qui fait le succès du</w:t>
      </w:r>
      <w:r>
        <w:t xml:space="preserve"> Salon du Meuble. Car c’est finalement là l’essentiel de notre métier et de notre salon : offrir à nos visiteurs et exposants un outil qui leur permette d’assurer un avenir florissant à leur commerce.</w:t>
      </w:r>
    </w:p>
    <w:p w14:paraId="1BFBE161" w14:textId="77777777" w:rsidR="00701D7E" w:rsidRPr="008529CA" w:rsidRDefault="00701D7E">
      <w:pPr>
        <w:rPr>
          <w:b/>
        </w:rPr>
      </w:pPr>
      <w:r w:rsidRPr="008529CA">
        <w:rPr>
          <w:b/>
        </w:rPr>
        <w:t xml:space="preserve">Des initiatives </w:t>
      </w:r>
      <w:r w:rsidR="00DF3BDC" w:rsidRPr="008529CA">
        <w:rPr>
          <w:b/>
        </w:rPr>
        <w:t>écologiques</w:t>
      </w:r>
    </w:p>
    <w:p w14:paraId="2902004F" w14:textId="77777777" w:rsidR="00701D7E" w:rsidRDefault="00DF3BDC">
      <w:r>
        <w:t>Quiconque s’intéresse à l’avenir</w:t>
      </w:r>
      <w:r w:rsidR="0029066F">
        <w:t xml:space="preserve"> ne peut ignorer l’importance croissante accordée au développement d’un mode plus écologique de faire des affaires. Mais qu’est-ce que cela implique concrètement ? Nous constatons que de nombreuses initiatives sont prises, mais qu’il n’existe actuellement aucune ligne claire dont les fabricants et revendeurs de meubles peuvent s’inspirer pour construire leur stratégie d’avenir. En tant que plateforme du secteur du meuble, le Salon s’est donc fixé l’objectif de diffuser ces informations. Pour ce faire, nous avons créé le concept d’« ECO-Stories », dont vous retrouverez le </w:t>
      </w:r>
      <w:r w:rsidR="002D2AF6">
        <w:t>sigle</w:t>
      </w:r>
      <w:r w:rsidR="0029066F">
        <w:t xml:space="preserve"> sur le plan des palais. Le nom parle de lui-même : les ECO-Stories ne sont pas un label de qualité officiel, mais un outil de partage d’informations et d’expériences. Dans le cadre de ce concept, nous faisons une distinction entre les histoires des fabricants de meubles </w:t>
      </w:r>
      <w:r w:rsidR="007A5D3A">
        <w:t>—</w:t>
      </w:r>
      <w:r w:rsidR="0029066F">
        <w:t xml:space="preserve"> nos exposants </w:t>
      </w:r>
      <w:r w:rsidR="007A5D3A">
        <w:t>—</w:t>
      </w:r>
      <w:r w:rsidR="0029066F">
        <w:t xml:space="preserve"> et celles des non-fabricants.</w:t>
      </w:r>
    </w:p>
    <w:p w14:paraId="4CD2A7C5" w14:textId="77777777" w:rsidR="0029066F" w:rsidRDefault="0029066F">
      <w:r>
        <w:t xml:space="preserve">Plusieurs ECO-Stories de nos exposants ont déjà été </w:t>
      </w:r>
      <w:r w:rsidR="002D2AF6">
        <w:t>publiées</w:t>
      </w:r>
      <w:r>
        <w:t xml:space="preserve"> par le biais de notre newsletter et de notre blog Furniture </w:t>
      </w:r>
      <w:proofErr w:type="spellStart"/>
      <w:r>
        <w:t>A</w:t>
      </w:r>
      <w:r w:rsidR="002D2AF6">
        <w:t>Ff</w:t>
      </w:r>
      <w:r>
        <w:t>airs</w:t>
      </w:r>
      <w:proofErr w:type="spellEnd"/>
      <w:r>
        <w:t>. Nous énumérons ci-dessous tous les exposants affichan</w:t>
      </w:r>
      <w:r w:rsidR="0041454E">
        <w:t>t le marquage ECO-Stories, avec ensuite une sélection des histoires les plus marquantes.</w:t>
      </w:r>
    </w:p>
    <w:p w14:paraId="487B1EF0" w14:textId="77777777" w:rsidR="0041454E" w:rsidRDefault="0041454E" w:rsidP="0041454E">
      <w:r w:rsidRPr="0041454E">
        <w:t>Exposant</w:t>
      </w:r>
      <w:r>
        <w:t>s avec</w:t>
      </w:r>
      <w:r w:rsidRPr="0041454E">
        <w:t xml:space="preserve"> ECO-Stories</w:t>
      </w:r>
      <w:r>
        <w:t> :</w:t>
      </w:r>
      <w:r w:rsidRPr="0041454E">
        <w:t xml:space="preserve"> Arbres de Vie, </w:t>
      </w:r>
      <w:proofErr w:type="spellStart"/>
      <w:r w:rsidRPr="0041454E">
        <w:t>Arctic</w:t>
      </w:r>
      <w:proofErr w:type="spellEnd"/>
      <w:r w:rsidRPr="0041454E">
        <w:t xml:space="preserve"> Living, Aya of Sweden, Benoa, De </w:t>
      </w:r>
      <w:proofErr w:type="spellStart"/>
      <w:r w:rsidRPr="0041454E">
        <w:t>Eekhoorn</w:t>
      </w:r>
      <w:proofErr w:type="spellEnd"/>
      <w:r w:rsidRPr="0041454E">
        <w:t xml:space="preserve">, </w:t>
      </w:r>
      <w:proofErr w:type="spellStart"/>
      <w:r w:rsidRPr="0041454E">
        <w:t>Ecolife</w:t>
      </w:r>
      <w:proofErr w:type="spellEnd"/>
      <w:r w:rsidRPr="0041454E">
        <w:t xml:space="preserve"> Beds, Fantasia, Forte, Glam-more, </w:t>
      </w:r>
      <w:proofErr w:type="spellStart"/>
      <w:r w:rsidRPr="0041454E">
        <w:t>Herleven</w:t>
      </w:r>
      <w:proofErr w:type="spellEnd"/>
      <w:r w:rsidRPr="0041454E">
        <w:t xml:space="preserve">, Het </w:t>
      </w:r>
      <w:proofErr w:type="spellStart"/>
      <w:r w:rsidRPr="0041454E">
        <w:t>Anker</w:t>
      </w:r>
      <w:proofErr w:type="spellEnd"/>
      <w:r w:rsidRPr="0041454E">
        <w:t xml:space="preserve">, </w:t>
      </w:r>
      <w:proofErr w:type="spellStart"/>
      <w:r w:rsidRPr="0041454E">
        <w:t>Isbir</w:t>
      </w:r>
      <w:proofErr w:type="spellEnd"/>
      <w:r w:rsidRPr="0041454E">
        <w:t xml:space="preserve"> </w:t>
      </w:r>
      <w:proofErr w:type="spellStart"/>
      <w:r w:rsidRPr="0041454E">
        <w:t>Bedding</w:t>
      </w:r>
      <w:proofErr w:type="spellEnd"/>
      <w:r w:rsidRPr="0041454E">
        <w:t xml:space="preserve">, Nicoletti Home, </w:t>
      </w:r>
      <w:proofErr w:type="spellStart"/>
      <w:r w:rsidRPr="0041454E">
        <w:t>Perfecta</w:t>
      </w:r>
      <w:proofErr w:type="spellEnd"/>
      <w:r w:rsidRPr="0041454E">
        <w:t xml:space="preserve">, Rauch, </w:t>
      </w:r>
      <w:proofErr w:type="spellStart"/>
      <w:r w:rsidRPr="0041454E">
        <w:t>Revor</w:t>
      </w:r>
      <w:proofErr w:type="spellEnd"/>
      <w:r w:rsidRPr="0041454E">
        <w:t xml:space="preserve">, </w:t>
      </w:r>
      <w:proofErr w:type="spellStart"/>
      <w:r w:rsidRPr="0041454E">
        <w:t>Saunaco</w:t>
      </w:r>
      <w:proofErr w:type="spellEnd"/>
      <w:r w:rsidRPr="0041454E">
        <w:t xml:space="preserve">, </w:t>
      </w:r>
      <w:proofErr w:type="spellStart"/>
      <w:r w:rsidRPr="0041454E">
        <w:t>Staud</w:t>
      </w:r>
      <w:proofErr w:type="spellEnd"/>
      <w:r w:rsidRPr="0041454E">
        <w:t xml:space="preserve">, Theuns, </w:t>
      </w:r>
      <w:proofErr w:type="spellStart"/>
      <w:r w:rsidRPr="0041454E">
        <w:t>Toon</w:t>
      </w:r>
      <w:proofErr w:type="spellEnd"/>
      <w:r w:rsidRPr="0041454E">
        <w:t xml:space="preserve"> de </w:t>
      </w:r>
      <w:proofErr w:type="spellStart"/>
      <w:r w:rsidRPr="0041454E">
        <w:t>Somer</w:t>
      </w:r>
      <w:proofErr w:type="spellEnd"/>
      <w:r w:rsidRPr="0041454E">
        <w:t xml:space="preserve">, </w:t>
      </w:r>
      <w:proofErr w:type="spellStart"/>
      <w:r w:rsidRPr="0041454E">
        <w:t>Wima</w:t>
      </w:r>
      <w:proofErr w:type="spellEnd"/>
      <w:r w:rsidRPr="0041454E">
        <w:t xml:space="preserve">, </w:t>
      </w:r>
      <w:proofErr w:type="spellStart"/>
      <w:r w:rsidRPr="0041454E">
        <w:t>Wimex</w:t>
      </w:r>
      <w:proofErr w:type="spellEnd"/>
      <w:r w:rsidRPr="0041454E">
        <w:t xml:space="preserve">, </w:t>
      </w:r>
      <w:proofErr w:type="spellStart"/>
      <w:r w:rsidRPr="0041454E">
        <w:t>Wöstmann</w:t>
      </w:r>
      <w:proofErr w:type="spellEnd"/>
      <w:r w:rsidRPr="0041454E">
        <w:t>.</w:t>
      </w:r>
    </w:p>
    <w:p w14:paraId="365EA605" w14:textId="77777777" w:rsidR="0041454E" w:rsidRDefault="008C7224" w:rsidP="008529CA">
      <w:pPr>
        <w:pStyle w:val="ListParagraph"/>
        <w:numPr>
          <w:ilvl w:val="0"/>
          <w:numId w:val="4"/>
        </w:numPr>
      </w:pPr>
      <w:proofErr w:type="spellStart"/>
      <w:r>
        <w:t>Herleven</w:t>
      </w:r>
      <w:proofErr w:type="spellEnd"/>
      <w:r>
        <w:t xml:space="preserve"> : </w:t>
      </w:r>
      <w:r w:rsidR="002D2AF6">
        <w:t>d</w:t>
      </w:r>
      <w:r>
        <w:t>es meubles de haute qualité fabriqués à partir de déchets recyclés, avec comme souci premier la durabilité.</w:t>
      </w:r>
    </w:p>
    <w:p w14:paraId="6813D692" w14:textId="77777777" w:rsidR="008C7224" w:rsidRDefault="008C7224" w:rsidP="008529CA">
      <w:pPr>
        <w:pStyle w:val="ListParagraph"/>
        <w:numPr>
          <w:ilvl w:val="0"/>
          <w:numId w:val="4"/>
        </w:numPr>
      </w:pPr>
      <w:proofErr w:type="spellStart"/>
      <w:r>
        <w:t>Ecolife</w:t>
      </w:r>
      <w:proofErr w:type="spellEnd"/>
      <w:r>
        <w:t xml:space="preserve"> Beds : un fabricant de lits v</w:t>
      </w:r>
      <w:r w:rsidR="007A5D3A">
        <w:t>é</w:t>
      </w:r>
      <w:r>
        <w:t>gan, qui n’emploie non plus aucun produit plastique, chimique ou synthétique.</w:t>
      </w:r>
    </w:p>
    <w:p w14:paraId="5C1B8730" w14:textId="77777777" w:rsidR="008C7224" w:rsidRDefault="008C7224" w:rsidP="008529CA">
      <w:pPr>
        <w:pStyle w:val="ListParagraph"/>
        <w:numPr>
          <w:ilvl w:val="0"/>
          <w:numId w:val="4"/>
        </w:numPr>
      </w:pPr>
      <w:proofErr w:type="spellStart"/>
      <w:r>
        <w:t>Arctic</w:t>
      </w:r>
      <w:proofErr w:type="spellEnd"/>
      <w:r>
        <w:t xml:space="preserve"> Living : ici, la réduction drastique des émissions de CO2 et l’utilisation d’énergie durable sont au centre du processus de production.</w:t>
      </w:r>
    </w:p>
    <w:p w14:paraId="271E28B6" w14:textId="77777777" w:rsidR="008C7224" w:rsidRDefault="008C7224" w:rsidP="008529CA">
      <w:pPr>
        <w:pStyle w:val="ListParagraph"/>
        <w:numPr>
          <w:ilvl w:val="0"/>
          <w:numId w:val="4"/>
        </w:numPr>
      </w:pPr>
      <w:proofErr w:type="spellStart"/>
      <w:r>
        <w:t>Revor</w:t>
      </w:r>
      <w:proofErr w:type="spellEnd"/>
      <w:r>
        <w:t> : la marque lance un matelas entièrement circulaire. Autrement dit, tous les matériaux qui le composent peuvent être indéfiniment réutilisés, sans perte de qualité.</w:t>
      </w:r>
    </w:p>
    <w:p w14:paraId="4B0C93A6" w14:textId="77777777" w:rsidR="008C7224" w:rsidRDefault="00D80872" w:rsidP="0041454E">
      <w:r>
        <w:t>Bien que</w:t>
      </w:r>
      <w:r w:rsidR="00614E10">
        <w:t xml:space="preserve"> le fait de se préoccuper de l’environnement et de communiquer à ce propos n</w:t>
      </w:r>
      <w:r>
        <w:t>e soit</w:t>
      </w:r>
      <w:r w:rsidR="00614E10">
        <w:t xml:space="preserve"> pas neuf dans le monde des entreprises, nous notons en revanche une</w:t>
      </w:r>
      <w:r>
        <w:t xml:space="preserve"> évolution au niveau du contenu du message, davantage axé sur le poids et l’impact </w:t>
      </w:r>
      <w:r w:rsidR="00614E10">
        <w:t xml:space="preserve">des actions entreprises. Si nous cherchons à </w:t>
      </w:r>
      <w:r w:rsidR="00614E10">
        <w:lastRenderedPageBreak/>
        <w:t xml:space="preserve">dégager des tendances à partir de notre propre appellation ECO-Stories, nous constatons, certes sans aucun fondement scientifique, que ce sont les fabricants </w:t>
      </w:r>
      <w:r w:rsidR="002D2AF6">
        <w:t>allemands</w:t>
      </w:r>
      <w:r w:rsidR="00614E10">
        <w:t xml:space="preserve"> et ceux du secteur de la literie qui sont le</w:t>
      </w:r>
      <w:r w:rsidR="007A5D3A">
        <w:t>s</w:t>
      </w:r>
      <w:r w:rsidR="00614E10">
        <w:t xml:space="preserve"> plus disposés à partager leurs expériences. </w:t>
      </w:r>
      <w:r w:rsidR="00181E89">
        <w:t>L’Allemagne se d</w:t>
      </w:r>
      <w:r>
        <w:t>istingue</w:t>
      </w:r>
      <w:r w:rsidR="00181E89">
        <w:t xml:space="preserve"> aussi par </w:t>
      </w:r>
      <w:r w:rsidR="00614E10">
        <w:t xml:space="preserve">l’utilisation </w:t>
      </w:r>
      <w:r w:rsidR="00785C93">
        <w:t>de plusieurs labels écologiques</w:t>
      </w:r>
      <w:r w:rsidR="00181E89">
        <w:t xml:space="preserve"> considérés comme des garanties objectives et respectables, qui pla</w:t>
      </w:r>
      <w:r>
        <w:t>ce</w:t>
      </w:r>
      <w:r w:rsidR="00181E89">
        <w:t>nt clairement l’industrie du meuble allemande à l’avant-garde du mouvement.</w:t>
      </w:r>
      <w:r w:rsidRPr="00D80872">
        <w:t xml:space="preserve"> </w:t>
      </w:r>
      <w:r>
        <w:t>Nous remarquons enfin, via les canaux de communication des exposants, que bon nombre d’entre eux accordent de l’attention à la question de l’écologie, mais jugent leurs initiatives insuffisantes pour en faire un sujet à raconter et partager.</w:t>
      </w:r>
    </w:p>
    <w:p w14:paraId="3C8936B9" w14:textId="77777777" w:rsidR="00181E89" w:rsidRPr="000409CE" w:rsidRDefault="00181E89" w:rsidP="0041454E">
      <w:pPr>
        <w:rPr>
          <w:sz w:val="10"/>
          <w:szCs w:val="10"/>
        </w:rPr>
      </w:pPr>
    </w:p>
    <w:p w14:paraId="770534DD" w14:textId="77777777" w:rsidR="00181E89" w:rsidRDefault="00181E89" w:rsidP="0041454E">
      <w:r>
        <w:t xml:space="preserve">Dans le palais 3 (Square), nous avons également voulu mettre en lumière, par le biais de posters, les démarches de durabilité d’autres acteurs de la branche. Ces histoires visent d’une part à inspirer les visiteurs </w:t>
      </w:r>
      <w:r w:rsidR="00D80872">
        <w:t>et l</w:t>
      </w:r>
      <w:r>
        <w:t xml:space="preserve">es exposants et les encourager à entreprendre leurs propres </w:t>
      </w:r>
      <w:r w:rsidR="00D80872">
        <w:t>actions</w:t>
      </w:r>
      <w:r>
        <w:t>, et d’autre part à leur fournir des informations concrètes leur permettant de directement</w:t>
      </w:r>
      <w:r w:rsidR="00D80872">
        <w:t xml:space="preserve"> se mettre au travail.</w:t>
      </w:r>
    </w:p>
    <w:p w14:paraId="1DCA0470" w14:textId="77777777" w:rsidR="00D80872" w:rsidRDefault="00D80872" w:rsidP="0041454E">
      <w:r>
        <w:t>Voici un aperçu des histoires et acteurs affichés sur ces panneaux :</w:t>
      </w:r>
    </w:p>
    <w:p w14:paraId="6A1903CB" w14:textId="77777777" w:rsidR="00D80872" w:rsidRDefault="00D80872" w:rsidP="008529CA">
      <w:pPr>
        <w:pStyle w:val="ListParagraph"/>
        <w:numPr>
          <w:ilvl w:val="0"/>
          <w:numId w:val="2"/>
        </w:numPr>
      </w:pPr>
      <w:proofErr w:type="spellStart"/>
      <w:r w:rsidRPr="00824705">
        <w:t>Circular</w:t>
      </w:r>
      <w:proofErr w:type="spellEnd"/>
      <w:r w:rsidRPr="00824705">
        <w:t xml:space="preserve"> Business Awards : </w:t>
      </w:r>
      <w:r w:rsidR="00917394">
        <w:t xml:space="preserve">avec les </w:t>
      </w:r>
      <w:proofErr w:type="spellStart"/>
      <w:r w:rsidR="00824705" w:rsidRPr="00824705">
        <w:t>Circular</w:t>
      </w:r>
      <w:proofErr w:type="spellEnd"/>
      <w:r w:rsidR="00824705" w:rsidRPr="00824705">
        <w:t xml:space="preserve"> Business Awards, la FE</w:t>
      </w:r>
      <w:r w:rsidR="002D2AF6">
        <w:t>B</w:t>
      </w:r>
      <w:r w:rsidR="00824705" w:rsidRPr="00824705">
        <w:t xml:space="preserve"> veut récompenser les entreprises qui ont </w:t>
      </w:r>
      <w:r w:rsidR="00824705">
        <w:t>adopté avec succès un modèle d’entreprise circulaire.</w:t>
      </w:r>
    </w:p>
    <w:p w14:paraId="5CB36B0B" w14:textId="77777777" w:rsidR="00824705" w:rsidRDefault="00824705" w:rsidP="008529CA">
      <w:pPr>
        <w:pStyle w:val="ListParagraph"/>
        <w:numPr>
          <w:ilvl w:val="0"/>
          <w:numId w:val="2"/>
        </w:numPr>
      </w:pPr>
      <w:proofErr w:type="spellStart"/>
      <w:r>
        <w:t>Circular</w:t>
      </w:r>
      <w:proofErr w:type="spellEnd"/>
      <w:r>
        <w:t xml:space="preserve"> </w:t>
      </w:r>
      <w:proofErr w:type="spellStart"/>
      <w:r>
        <w:t>Hotel</w:t>
      </w:r>
      <w:proofErr w:type="spellEnd"/>
      <w:r>
        <w:t xml:space="preserve"> </w:t>
      </w:r>
      <w:proofErr w:type="spellStart"/>
      <w:r>
        <w:t>Interior</w:t>
      </w:r>
      <w:proofErr w:type="spellEnd"/>
      <w:r>
        <w:t> : cette certification vise à aider les acheteurs à y voir plus clair dans l’offre de solutions d’intérieur circulaires dans le domaine de l’hôtellerie, au moyen d’une certification impartiale pour les produits d’aménagement, les meubles et les textiles destiné</w:t>
      </w:r>
      <w:r w:rsidR="009A07AD">
        <w:t>s</w:t>
      </w:r>
      <w:r>
        <w:t xml:space="preserve"> au secteur de l’hôtellerie.</w:t>
      </w:r>
    </w:p>
    <w:p w14:paraId="6A1E7F34" w14:textId="77777777" w:rsidR="00824705" w:rsidRDefault="00824705" w:rsidP="008529CA">
      <w:pPr>
        <w:pStyle w:val="ListParagraph"/>
        <w:numPr>
          <w:ilvl w:val="0"/>
          <w:numId w:val="2"/>
        </w:numPr>
      </w:pPr>
      <w:proofErr w:type="spellStart"/>
      <w:r>
        <w:t>Valumat</w:t>
      </w:r>
      <w:proofErr w:type="spellEnd"/>
      <w:r>
        <w:t> : propose entre autres des lignes directrices pour la fabrication de matelas circulaires.</w:t>
      </w:r>
    </w:p>
    <w:p w14:paraId="2F02D18C" w14:textId="77777777" w:rsidR="00824705" w:rsidRDefault="00824705" w:rsidP="008529CA">
      <w:pPr>
        <w:pStyle w:val="ListParagraph"/>
        <w:numPr>
          <w:ilvl w:val="0"/>
          <w:numId w:val="2"/>
        </w:numPr>
      </w:pPr>
      <w:r>
        <w:t xml:space="preserve">PEFC : </w:t>
      </w:r>
      <w:r w:rsidR="00D81552">
        <w:t>ce programme a mis au point un calculateur en ligne de la quantité de carbone stocké dans les meubles en bois.</w:t>
      </w:r>
    </w:p>
    <w:p w14:paraId="102485A5" w14:textId="6427BAAB" w:rsidR="00A3263A" w:rsidRDefault="00A3263A" w:rsidP="008529CA">
      <w:pPr>
        <w:pStyle w:val="ListParagraph"/>
        <w:numPr>
          <w:ilvl w:val="0"/>
          <w:numId w:val="2"/>
        </w:numPr>
      </w:pPr>
      <w:r>
        <w:t>Wood.be : soutient les entreprises dans leur transition vers un mode d’activité circulaire.</w:t>
      </w:r>
    </w:p>
    <w:p w14:paraId="66059D5F" w14:textId="795EC0A3" w:rsidR="00212B24" w:rsidRDefault="00D81552" w:rsidP="00A3263A">
      <w:pPr>
        <w:pStyle w:val="ListParagraph"/>
        <w:numPr>
          <w:ilvl w:val="0"/>
          <w:numId w:val="2"/>
        </w:numPr>
      </w:pPr>
      <w:r>
        <w:t xml:space="preserve">WATF : </w:t>
      </w:r>
      <w:r w:rsidR="000409CE">
        <w:t>p</w:t>
      </w:r>
      <w:r w:rsidR="00A3263A">
        <w:t xml:space="preserve">résentation </w:t>
      </w:r>
      <w:proofErr w:type="spellStart"/>
      <w:r w:rsidR="00A3263A">
        <w:t>Trendwolves</w:t>
      </w:r>
      <w:proofErr w:type="spellEnd"/>
      <w:r w:rsidR="00212B24">
        <w:t>.</w:t>
      </w:r>
    </w:p>
    <w:p w14:paraId="007344D2" w14:textId="77777777" w:rsidR="00212B24" w:rsidRDefault="00212B24" w:rsidP="0041454E">
      <w:r>
        <w:t>En parallèle, le Salon du Meuble s’efforce d’apporter sa propre contribution à un avenir plus durable, en réutilisant par exemple des éléments de stand et du matériel de signalisation, en réduisant et en optimisant les envois papier, en limitant le nombre d’imprimés au salon et, bien sûr, en offrant une tribune aux acteurs précités de la branche du meuble.</w:t>
      </w:r>
    </w:p>
    <w:p w14:paraId="6123D0B4" w14:textId="77777777" w:rsidR="00212B24" w:rsidRDefault="00212B24" w:rsidP="0041454E"/>
    <w:p w14:paraId="360A6DDF" w14:textId="77777777" w:rsidR="00212B24" w:rsidRPr="008529CA" w:rsidRDefault="00212B24" w:rsidP="0041454E">
      <w:pPr>
        <w:rPr>
          <w:b/>
        </w:rPr>
      </w:pPr>
      <w:r w:rsidRPr="008529CA">
        <w:rPr>
          <w:b/>
        </w:rPr>
        <w:t>L’avenir des salons</w:t>
      </w:r>
    </w:p>
    <w:p w14:paraId="4925D934" w14:textId="77777777" w:rsidR="00212B24" w:rsidRDefault="00212B24" w:rsidP="0041454E">
      <w:r>
        <w:t xml:space="preserve">Au-delà de l’identification des tendances et des évolutions au sein du monde de meuble et de l’aménagement d’intérieur, le Salon du Meuble doit aussi, </w:t>
      </w:r>
      <w:r w:rsidR="00917394">
        <w:t>en tant qu’organisateur d’évènement, garder un œil sur l’évolution du secteur de l’évènementiel. Comment se profile l’avenir de la branche ? Ces dernières années, il est apparu clair que l</w:t>
      </w:r>
      <w:r w:rsidR="009A07AD">
        <w:t>’atmosphère et l’expérience vécue sur place</w:t>
      </w:r>
      <w:r w:rsidR="00917394">
        <w:t xml:space="preserve"> </w:t>
      </w:r>
      <w:r w:rsidR="009A07AD">
        <w:t>jouent</w:t>
      </w:r>
      <w:r w:rsidR="00917394">
        <w:t xml:space="preserve"> un rôle toujours plus central lors d’évènements</w:t>
      </w:r>
      <w:r w:rsidR="009A07AD">
        <w:t xml:space="preserve">, </w:t>
      </w:r>
      <w:r w:rsidR="00917394">
        <w:t>qu’ils soient B2C ou B2B.</w:t>
      </w:r>
    </w:p>
    <w:p w14:paraId="4C0A8DE3" w14:textId="77777777" w:rsidR="00917394" w:rsidRDefault="00917394" w:rsidP="0041454E">
      <w:r>
        <w:t>C’est pourquoi le Salon du Meuble a plus que jamais investi dans l’aménagement soigné des palais et dans l’offre de découvertes</w:t>
      </w:r>
      <w:r w:rsidR="009A07AD">
        <w:t>, sans toutefois</w:t>
      </w:r>
      <w:r>
        <w:t xml:space="preserve"> porter préjudice à l’essentiel, à savoir la conclusion de </w:t>
      </w:r>
      <w:r w:rsidRPr="007520B4">
        <w:t>bonnes affaires. Afin de garantir cet équilibre, nous avons cherché de nouvelles ressources, au</w:t>
      </w:r>
      <w:r>
        <w:t xml:space="preserve"> </w:t>
      </w:r>
      <w:r>
        <w:lastRenderedPageBreak/>
        <w:t>moyen par exemple de collaborations avec des exposants du magasin de demain, ou en créant de nouvelles opportunités publicitaires. Dans la même veine, le coin « </w:t>
      </w:r>
      <w:proofErr w:type="spellStart"/>
      <w:r>
        <w:t>press</w:t>
      </w:r>
      <w:proofErr w:type="spellEnd"/>
      <w:r>
        <w:t xml:space="preserve"> </w:t>
      </w:r>
      <w:proofErr w:type="spellStart"/>
      <w:r>
        <w:t>reading</w:t>
      </w:r>
      <w:proofErr w:type="spellEnd"/>
      <w:r>
        <w:t xml:space="preserve"> corner » a été aménagé en collaboration avec l’exposant Rom et le bar à champagne a été mis en place avec la collaboration de </w:t>
      </w:r>
      <w:proofErr w:type="spellStart"/>
      <w:r>
        <w:t>Drappier</w:t>
      </w:r>
      <w:proofErr w:type="spellEnd"/>
      <w:r>
        <w:t>.</w:t>
      </w:r>
    </w:p>
    <w:p w14:paraId="4BF209D1" w14:textId="77777777" w:rsidR="00917394" w:rsidRDefault="009A07AD" w:rsidP="0041454E">
      <w:r>
        <w:t>Lorsque</w:t>
      </w:r>
      <w:r w:rsidR="00EF2C0D">
        <w:t xml:space="preserve"> nous nous penchons sur l’avenir du Salon du Meuble en tant qu’évènement, nous devons aussi nous intéresser à la manière dont l’information est partagée sur place, en veillant à trouver le juste milieu entre communication physique et numérique. Autrement dit, trouver le bon média pour le bon contenu, en fonction du moment de la diffusion. Le fait, par exemple, que le BE-magazine ait été remplacé par un blog avec newsletter tout en maintenant la distribution d’une gazette papier au salon n’est pas le fruit du hasard, mais bien d’une mûre réflexion.</w:t>
      </w:r>
    </w:p>
    <w:p w14:paraId="1F6F744A" w14:textId="77777777" w:rsidR="00EF2C0D" w:rsidRDefault="00EF2C0D" w:rsidP="0041454E"/>
    <w:p w14:paraId="11CCFACD" w14:textId="77777777" w:rsidR="00EF2C0D" w:rsidRPr="008529CA" w:rsidRDefault="00EF2C0D" w:rsidP="0041454E">
      <w:pPr>
        <w:rPr>
          <w:b/>
        </w:rPr>
      </w:pPr>
      <w:r w:rsidRPr="008529CA">
        <w:rPr>
          <w:b/>
        </w:rPr>
        <w:t>Le Salon du Meuble de Bruxelles 2023 en chiffres</w:t>
      </w:r>
    </w:p>
    <w:p w14:paraId="7FBE3B9F" w14:textId="77777777" w:rsidR="00EF2C0D" w:rsidRDefault="00EF2C0D" w:rsidP="0041454E">
      <w:r>
        <w:t xml:space="preserve">Cette édition 2023 </w:t>
      </w:r>
      <w:r w:rsidR="009A07AD">
        <w:t xml:space="preserve">se caractérise notamment </w:t>
      </w:r>
      <w:r>
        <w:t xml:space="preserve">par le changement d’emplacement de plusieurs fidèles exposants. </w:t>
      </w:r>
      <w:proofErr w:type="spellStart"/>
      <w:r>
        <w:t>Calia</w:t>
      </w:r>
      <w:proofErr w:type="spellEnd"/>
      <w:r>
        <w:t xml:space="preserve"> Italia occupe ainsi un nouveau stand au palais 4, tout comme Passe Partout et </w:t>
      </w:r>
      <w:proofErr w:type="spellStart"/>
      <w:r>
        <w:t>Reco</w:t>
      </w:r>
      <w:r w:rsidR="009A07AD">
        <w:t>r</w:t>
      </w:r>
      <w:proofErr w:type="spellEnd"/>
      <w:r>
        <w:t xml:space="preserve"> Group. Ces </w:t>
      </w:r>
      <w:r w:rsidR="00437105">
        <w:t>départs</w:t>
      </w:r>
      <w:r>
        <w:t xml:space="preserve"> ont libéré de grands espaces aux palais 5 et 3, qui ont été remplis par de nouveaux noms. Avec l’</w:t>
      </w:r>
      <w:r w:rsidR="009A07AD">
        <w:t>entrée</w:t>
      </w:r>
      <w:r>
        <w:t xml:space="preserve"> de </w:t>
      </w:r>
      <w:proofErr w:type="spellStart"/>
      <w:r w:rsidRPr="00EF2C0D">
        <w:t>Yac</w:t>
      </w:r>
      <w:proofErr w:type="spellEnd"/>
      <w:r w:rsidRPr="00EF2C0D">
        <w:t xml:space="preserve">, </w:t>
      </w:r>
      <w:proofErr w:type="spellStart"/>
      <w:r w:rsidRPr="00EF2C0D">
        <w:t>Saunaco</w:t>
      </w:r>
      <w:proofErr w:type="spellEnd"/>
      <w:r w:rsidRPr="00EF2C0D">
        <w:t xml:space="preserve">, WR </w:t>
      </w:r>
      <w:proofErr w:type="spellStart"/>
      <w:r w:rsidRPr="00EF2C0D">
        <w:t>Inspired</w:t>
      </w:r>
      <w:proofErr w:type="spellEnd"/>
      <w:r w:rsidRPr="00EF2C0D">
        <w:t xml:space="preserve">, </w:t>
      </w:r>
      <w:proofErr w:type="spellStart"/>
      <w:r w:rsidRPr="00EF2C0D">
        <w:t>Poleposition</w:t>
      </w:r>
      <w:proofErr w:type="spellEnd"/>
      <w:r w:rsidRPr="00EF2C0D">
        <w:t xml:space="preserve">, </w:t>
      </w:r>
      <w:proofErr w:type="spellStart"/>
      <w:r w:rsidRPr="00EF2C0D">
        <w:t>Aquinos</w:t>
      </w:r>
      <w:proofErr w:type="spellEnd"/>
      <w:r w:rsidRPr="00EF2C0D">
        <w:t xml:space="preserve">, </w:t>
      </w:r>
      <w:proofErr w:type="spellStart"/>
      <w:r w:rsidRPr="00EF2C0D">
        <w:t>Beka</w:t>
      </w:r>
      <w:proofErr w:type="spellEnd"/>
      <w:r w:rsidRPr="00EF2C0D">
        <w:t xml:space="preserve"> e</w:t>
      </w:r>
      <w:r>
        <w:t>t</w:t>
      </w:r>
      <w:r w:rsidRPr="00EF2C0D">
        <w:t xml:space="preserve"> Girardeau</w:t>
      </w:r>
      <w:r>
        <w:t xml:space="preserve">, le palais 5 connait ainsi son plus grand roulement en plus de 20 ans. Nous espérons que ces </w:t>
      </w:r>
      <w:r w:rsidR="00437105">
        <w:t>changements feront naitre une nouvelle dynamique auprès des visiteurs. Le palais 3 a également connu beaucoup de mouvements, avec aussi l</w:t>
      </w:r>
      <w:r w:rsidR="009A07AD">
        <w:t>’arrivée</w:t>
      </w:r>
      <w:r w:rsidR="00437105">
        <w:t xml:space="preserve"> de nouveaux venus.</w:t>
      </w:r>
    </w:p>
    <w:tbl>
      <w:tblPr>
        <w:tblW w:w="8440" w:type="dxa"/>
        <w:tblCellMar>
          <w:left w:w="70" w:type="dxa"/>
          <w:right w:w="70" w:type="dxa"/>
        </w:tblCellMar>
        <w:tblLook w:val="04A0" w:firstRow="1" w:lastRow="0" w:firstColumn="1" w:lastColumn="0" w:noHBand="0" w:noVBand="1"/>
      </w:tblPr>
      <w:tblGrid>
        <w:gridCol w:w="2630"/>
        <w:gridCol w:w="1371"/>
        <w:gridCol w:w="146"/>
        <w:gridCol w:w="146"/>
        <w:gridCol w:w="2630"/>
        <w:gridCol w:w="1371"/>
        <w:gridCol w:w="146"/>
      </w:tblGrid>
      <w:tr w:rsidR="009020BB" w:rsidRPr="00410B88" w14:paraId="436499B1" w14:textId="77777777" w:rsidTr="00C07BA6">
        <w:trPr>
          <w:gridAfter w:val="1"/>
          <w:wAfter w:w="146" w:type="dxa"/>
          <w:trHeight w:val="537"/>
        </w:trPr>
        <w:tc>
          <w:tcPr>
            <w:tcW w:w="8294"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09D737E" w14:textId="77777777" w:rsidR="009020BB" w:rsidRPr="00410B88" w:rsidRDefault="009020BB" w:rsidP="00C07BA6">
            <w:pPr>
              <w:spacing w:after="0" w:line="240" w:lineRule="auto"/>
              <w:jc w:val="center"/>
              <w:rPr>
                <w:rFonts w:ascii="Calibri" w:eastAsia="Times New Roman" w:hAnsi="Calibri" w:cs="Calibri"/>
                <w:color w:val="000000"/>
                <w:sz w:val="44"/>
                <w:szCs w:val="44"/>
                <w:lang w:eastAsia="fr-BE"/>
              </w:rPr>
            </w:pPr>
            <w:r w:rsidRPr="003A0AEE">
              <w:rPr>
                <w:rFonts w:ascii="Calibri" w:eastAsia="Times New Roman" w:hAnsi="Calibri" w:cs="Calibri"/>
                <w:color w:val="000000"/>
                <w:sz w:val="32"/>
                <w:szCs w:val="32"/>
                <w:lang w:eastAsia="fr-BE"/>
              </w:rPr>
              <w:t>Exposant</w:t>
            </w:r>
            <w:r>
              <w:rPr>
                <w:rFonts w:ascii="Calibri" w:eastAsia="Times New Roman" w:hAnsi="Calibri" w:cs="Calibri"/>
                <w:color w:val="000000"/>
                <w:sz w:val="32"/>
                <w:szCs w:val="32"/>
                <w:lang w:eastAsia="fr-BE"/>
              </w:rPr>
              <w:t>s</w:t>
            </w:r>
            <w:r w:rsidRPr="003A0AEE">
              <w:rPr>
                <w:rFonts w:ascii="Calibri" w:eastAsia="Times New Roman" w:hAnsi="Calibri" w:cs="Calibri"/>
                <w:color w:val="000000"/>
                <w:sz w:val="32"/>
                <w:szCs w:val="32"/>
                <w:lang w:eastAsia="fr-BE"/>
              </w:rPr>
              <w:t xml:space="preserve"> </w:t>
            </w:r>
            <w:r w:rsidRPr="00410B88">
              <w:rPr>
                <w:rFonts w:ascii="Calibri" w:eastAsia="Times New Roman" w:hAnsi="Calibri" w:cs="Calibri"/>
                <w:color w:val="000000"/>
                <w:sz w:val="32"/>
                <w:szCs w:val="32"/>
                <w:lang w:eastAsia="fr-BE"/>
              </w:rPr>
              <w:t>2023</w:t>
            </w:r>
            <w:r>
              <w:rPr>
                <w:rFonts w:ascii="Calibri" w:eastAsia="Times New Roman" w:hAnsi="Calibri" w:cs="Calibri"/>
                <w:color w:val="000000"/>
                <w:sz w:val="32"/>
                <w:szCs w:val="32"/>
                <w:lang w:eastAsia="fr-BE"/>
              </w:rPr>
              <w:t xml:space="preserve"> - Nationalités</w:t>
            </w:r>
          </w:p>
        </w:tc>
      </w:tr>
      <w:tr w:rsidR="009020BB" w:rsidRPr="00410B88" w14:paraId="2865EF1F" w14:textId="77777777" w:rsidTr="00C07BA6">
        <w:trPr>
          <w:trHeight w:val="227"/>
        </w:trPr>
        <w:tc>
          <w:tcPr>
            <w:tcW w:w="8294" w:type="dxa"/>
            <w:gridSpan w:val="6"/>
            <w:vMerge/>
            <w:tcBorders>
              <w:top w:val="single" w:sz="8" w:space="0" w:color="auto"/>
              <w:left w:val="single" w:sz="8" w:space="0" w:color="auto"/>
              <w:bottom w:val="single" w:sz="8" w:space="0" w:color="000000"/>
              <w:right w:val="single" w:sz="8" w:space="0" w:color="000000"/>
            </w:tcBorders>
            <w:vAlign w:val="center"/>
            <w:hideMark/>
          </w:tcPr>
          <w:p w14:paraId="0568EAE1" w14:textId="77777777" w:rsidR="009020BB" w:rsidRPr="00410B88" w:rsidRDefault="009020BB" w:rsidP="00C07BA6">
            <w:pPr>
              <w:spacing w:after="0" w:line="240" w:lineRule="auto"/>
              <w:rPr>
                <w:rFonts w:ascii="Calibri" w:eastAsia="Times New Roman" w:hAnsi="Calibri" w:cs="Calibri"/>
                <w:color w:val="000000"/>
                <w:sz w:val="44"/>
                <w:szCs w:val="44"/>
                <w:lang w:eastAsia="fr-BE"/>
              </w:rPr>
            </w:pPr>
          </w:p>
        </w:tc>
        <w:tc>
          <w:tcPr>
            <w:tcW w:w="146" w:type="dxa"/>
            <w:tcBorders>
              <w:top w:val="nil"/>
              <w:left w:val="nil"/>
              <w:bottom w:val="nil"/>
              <w:right w:val="nil"/>
            </w:tcBorders>
            <w:shd w:val="clear" w:color="auto" w:fill="auto"/>
            <w:noWrap/>
            <w:vAlign w:val="bottom"/>
            <w:hideMark/>
          </w:tcPr>
          <w:p w14:paraId="25076978" w14:textId="77777777" w:rsidR="009020BB" w:rsidRPr="00410B88" w:rsidRDefault="009020BB" w:rsidP="00C07BA6">
            <w:pPr>
              <w:spacing w:after="0" w:line="240" w:lineRule="auto"/>
              <w:jc w:val="center"/>
              <w:rPr>
                <w:rFonts w:ascii="Calibri" w:eastAsia="Times New Roman" w:hAnsi="Calibri" w:cs="Calibri"/>
                <w:color w:val="000000"/>
                <w:sz w:val="44"/>
                <w:szCs w:val="44"/>
                <w:lang w:eastAsia="fr-BE"/>
              </w:rPr>
            </w:pPr>
          </w:p>
        </w:tc>
      </w:tr>
      <w:tr w:rsidR="009020BB" w:rsidRPr="00410B88" w14:paraId="044660D7" w14:textId="77777777" w:rsidTr="00C07BA6">
        <w:trPr>
          <w:trHeight w:val="227"/>
        </w:trPr>
        <w:tc>
          <w:tcPr>
            <w:tcW w:w="2630" w:type="dxa"/>
            <w:tcBorders>
              <w:top w:val="nil"/>
              <w:left w:val="single" w:sz="8" w:space="0" w:color="auto"/>
              <w:bottom w:val="single" w:sz="8" w:space="0" w:color="auto"/>
              <w:right w:val="nil"/>
            </w:tcBorders>
            <w:shd w:val="clear" w:color="auto" w:fill="auto"/>
            <w:noWrap/>
            <w:vAlign w:val="bottom"/>
            <w:hideMark/>
          </w:tcPr>
          <w:p w14:paraId="69933986" w14:textId="77777777" w:rsidR="009020BB" w:rsidRPr="00410B88" w:rsidRDefault="009020BB" w:rsidP="00C07BA6">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Pays d’origine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5012AB89" w14:textId="77777777" w:rsidR="009020BB" w:rsidRPr="00410B88" w:rsidRDefault="009020BB" w:rsidP="00C07BA6">
            <w:pPr>
              <w:spacing w:after="0" w:line="240" w:lineRule="auto"/>
              <w:rPr>
                <w:rFonts w:ascii="Calibri" w:eastAsia="Times New Roman" w:hAnsi="Calibri" w:cs="Calibri"/>
                <w:b/>
                <w:bCs/>
                <w:color w:val="000000"/>
                <w:lang w:eastAsia="fr-BE"/>
              </w:rPr>
            </w:pPr>
            <w:r w:rsidRPr="00410B88">
              <w:rPr>
                <w:rFonts w:ascii="Calibri" w:eastAsia="Times New Roman" w:hAnsi="Calibri" w:cs="Calibri"/>
                <w:b/>
                <w:bCs/>
                <w:color w:val="000000"/>
                <w:lang w:eastAsia="fr-BE"/>
              </w:rPr>
              <w:t>Quantit</w:t>
            </w:r>
            <w:r>
              <w:rPr>
                <w:rFonts w:ascii="Calibri" w:eastAsia="Times New Roman" w:hAnsi="Calibri" w:cs="Calibri"/>
                <w:b/>
                <w:bCs/>
                <w:color w:val="000000"/>
                <w:lang w:eastAsia="fr-BE"/>
              </w:rPr>
              <w:t>é</w:t>
            </w:r>
          </w:p>
        </w:tc>
        <w:tc>
          <w:tcPr>
            <w:tcW w:w="146" w:type="dxa"/>
            <w:tcBorders>
              <w:top w:val="nil"/>
              <w:left w:val="nil"/>
              <w:bottom w:val="nil"/>
              <w:right w:val="nil"/>
            </w:tcBorders>
            <w:shd w:val="clear" w:color="auto" w:fill="auto"/>
            <w:noWrap/>
            <w:vAlign w:val="bottom"/>
            <w:hideMark/>
          </w:tcPr>
          <w:p w14:paraId="774B8926" w14:textId="77777777" w:rsidR="009020BB" w:rsidRPr="00410B88" w:rsidRDefault="009020BB" w:rsidP="00C07BA6">
            <w:pPr>
              <w:spacing w:after="0" w:line="240" w:lineRule="auto"/>
              <w:rPr>
                <w:rFonts w:ascii="Calibri" w:eastAsia="Times New Roman" w:hAnsi="Calibri" w:cs="Calibri"/>
                <w:b/>
                <w:bCs/>
                <w:color w:val="000000"/>
                <w:lang w:eastAsia="fr-BE"/>
              </w:rPr>
            </w:pPr>
          </w:p>
        </w:tc>
        <w:tc>
          <w:tcPr>
            <w:tcW w:w="146" w:type="dxa"/>
            <w:tcBorders>
              <w:top w:val="nil"/>
              <w:left w:val="nil"/>
              <w:bottom w:val="nil"/>
              <w:right w:val="nil"/>
            </w:tcBorders>
            <w:shd w:val="clear" w:color="auto" w:fill="auto"/>
            <w:noWrap/>
            <w:vAlign w:val="bottom"/>
            <w:hideMark/>
          </w:tcPr>
          <w:p w14:paraId="27D9639A"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59CEDAE4" w14:textId="77777777" w:rsidR="009020BB" w:rsidRPr="00410B88" w:rsidRDefault="009020BB" w:rsidP="00C07BA6">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Pays d’origine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6FB055C3" w14:textId="77777777" w:rsidR="009020BB" w:rsidRPr="00410B88" w:rsidRDefault="009020BB" w:rsidP="00C07BA6">
            <w:pPr>
              <w:spacing w:after="0" w:line="240" w:lineRule="auto"/>
              <w:rPr>
                <w:rFonts w:ascii="Calibri" w:eastAsia="Times New Roman" w:hAnsi="Calibri" w:cs="Calibri"/>
                <w:b/>
                <w:bCs/>
                <w:color w:val="000000"/>
                <w:lang w:eastAsia="fr-BE"/>
              </w:rPr>
            </w:pPr>
            <w:r w:rsidRPr="00410B88">
              <w:rPr>
                <w:rFonts w:ascii="Calibri" w:eastAsia="Times New Roman" w:hAnsi="Calibri" w:cs="Calibri"/>
                <w:b/>
                <w:bCs/>
                <w:color w:val="000000"/>
                <w:lang w:eastAsia="fr-BE"/>
              </w:rPr>
              <w:t>Quantit</w:t>
            </w:r>
            <w:r>
              <w:rPr>
                <w:rFonts w:ascii="Calibri" w:eastAsia="Times New Roman" w:hAnsi="Calibri" w:cs="Calibri"/>
                <w:b/>
                <w:bCs/>
                <w:color w:val="000000"/>
                <w:lang w:eastAsia="fr-BE"/>
              </w:rPr>
              <w:t>é</w:t>
            </w:r>
          </w:p>
        </w:tc>
        <w:tc>
          <w:tcPr>
            <w:tcW w:w="146" w:type="dxa"/>
            <w:vAlign w:val="center"/>
            <w:hideMark/>
          </w:tcPr>
          <w:p w14:paraId="5AD6FA1F"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46F03752"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1AFDC8F6"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Allemagne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5134955"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17</w:t>
            </w:r>
          </w:p>
        </w:tc>
        <w:tc>
          <w:tcPr>
            <w:tcW w:w="146" w:type="dxa"/>
            <w:tcBorders>
              <w:top w:val="nil"/>
              <w:left w:val="nil"/>
              <w:bottom w:val="nil"/>
              <w:right w:val="nil"/>
            </w:tcBorders>
            <w:shd w:val="clear" w:color="auto" w:fill="auto"/>
            <w:noWrap/>
            <w:vAlign w:val="bottom"/>
            <w:hideMark/>
          </w:tcPr>
          <w:p w14:paraId="1FF0EBB1"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88EA669"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1393046E"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Belgique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A1DB439"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79</w:t>
            </w:r>
          </w:p>
        </w:tc>
        <w:tc>
          <w:tcPr>
            <w:tcW w:w="146" w:type="dxa"/>
            <w:vAlign w:val="center"/>
            <w:hideMark/>
          </w:tcPr>
          <w:p w14:paraId="3097B464"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0C5C854E"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08871A36"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Belgique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2053FCA"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79</w:t>
            </w:r>
          </w:p>
        </w:tc>
        <w:tc>
          <w:tcPr>
            <w:tcW w:w="146" w:type="dxa"/>
            <w:tcBorders>
              <w:top w:val="nil"/>
              <w:left w:val="nil"/>
              <w:bottom w:val="nil"/>
              <w:right w:val="nil"/>
            </w:tcBorders>
            <w:shd w:val="clear" w:color="auto" w:fill="auto"/>
            <w:noWrap/>
            <w:vAlign w:val="bottom"/>
            <w:hideMark/>
          </w:tcPr>
          <w:p w14:paraId="5E6D0EBC"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18DB20C9"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985745F"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Pays-Bas</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FCE2092"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75</w:t>
            </w:r>
          </w:p>
        </w:tc>
        <w:tc>
          <w:tcPr>
            <w:tcW w:w="146" w:type="dxa"/>
            <w:vAlign w:val="center"/>
            <w:hideMark/>
          </w:tcPr>
          <w:p w14:paraId="21C48CDC"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08C6D93D"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5472A959"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Chin</w:t>
            </w:r>
            <w:r>
              <w:rPr>
                <w:rFonts w:ascii="Calibri" w:eastAsia="Times New Roman" w:hAnsi="Calibri" w:cs="Calibri"/>
                <w:color w:val="000000"/>
                <w:lang w:eastAsia="fr-BE"/>
              </w:rPr>
              <w:t>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DD79505"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627CCAEA"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88154A3"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498E50E"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Allemagne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8981CE2"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17</w:t>
            </w:r>
          </w:p>
        </w:tc>
        <w:tc>
          <w:tcPr>
            <w:tcW w:w="146" w:type="dxa"/>
            <w:vAlign w:val="center"/>
            <w:hideMark/>
          </w:tcPr>
          <w:p w14:paraId="3E98D8ED"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5B4D9FAB"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4F88A42B"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Cr</w:t>
            </w:r>
            <w:r>
              <w:rPr>
                <w:rFonts w:ascii="Calibri" w:eastAsia="Times New Roman" w:hAnsi="Calibri" w:cs="Calibri"/>
                <w:color w:val="000000"/>
                <w:lang w:eastAsia="fr-BE"/>
              </w:rPr>
              <w:t>oa</w:t>
            </w:r>
            <w:r w:rsidRPr="00410B88">
              <w:rPr>
                <w:rFonts w:ascii="Calibri" w:eastAsia="Times New Roman" w:hAnsi="Calibri" w:cs="Calibri"/>
                <w:color w:val="000000"/>
                <w:lang w:eastAsia="fr-BE"/>
              </w:rPr>
              <w:t>ti</w:t>
            </w:r>
            <w:r>
              <w:rPr>
                <w:rFonts w:ascii="Calibri" w:eastAsia="Times New Roman" w:hAnsi="Calibri" w:cs="Calibri"/>
                <w:color w:val="000000"/>
                <w:lang w:eastAsia="fr-BE"/>
              </w:rPr>
              <w:t>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80EE980"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7F20B235"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4618BE0"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D3FC426"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Ital</w:t>
            </w:r>
            <w:r>
              <w:rPr>
                <w:rFonts w:ascii="Calibri" w:eastAsia="Times New Roman" w:hAnsi="Calibri" w:cs="Calibri"/>
                <w:color w:val="000000"/>
                <w:lang w:eastAsia="fr-BE"/>
              </w:rPr>
              <w:t>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254D35A"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12</w:t>
            </w:r>
          </w:p>
        </w:tc>
        <w:tc>
          <w:tcPr>
            <w:tcW w:w="146" w:type="dxa"/>
            <w:vAlign w:val="center"/>
            <w:hideMark/>
          </w:tcPr>
          <w:p w14:paraId="2B3CEC9A"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6607F520"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4BF34726"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D</w:t>
            </w:r>
            <w:r>
              <w:rPr>
                <w:rFonts w:ascii="Calibri" w:eastAsia="Times New Roman" w:hAnsi="Calibri" w:cs="Calibri"/>
                <w:color w:val="000000"/>
                <w:lang w:eastAsia="fr-BE"/>
              </w:rPr>
              <w:t>a</w:t>
            </w:r>
            <w:r w:rsidRPr="00410B88">
              <w:rPr>
                <w:rFonts w:ascii="Calibri" w:eastAsia="Times New Roman" w:hAnsi="Calibri" w:cs="Calibri"/>
                <w:color w:val="000000"/>
                <w:lang w:eastAsia="fr-BE"/>
              </w:rPr>
              <w:t>n</w:t>
            </w:r>
            <w:r>
              <w:rPr>
                <w:rFonts w:ascii="Calibri" w:eastAsia="Times New Roman" w:hAnsi="Calibri" w:cs="Calibri"/>
                <w:color w:val="000000"/>
                <w:lang w:eastAsia="fr-BE"/>
              </w:rPr>
              <w:t>e</w:t>
            </w:r>
            <w:r w:rsidRPr="00410B88">
              <w:rPr>
                <w:rFonts w:ascii="Calibri" w:eastAsia="Times New Roman" w:hAnsi="Calibri" w:cs="Calibri"/>
                <w:color w:val="000000"/>
                <w:lang w:eastAsia="fr-BE"/>
              </w:rPr>
              <w:t>mark</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EFD6973"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5</w:t>
            </w:r>
          </w:p>
        </w:tc>
        <w:tc>
          <w:tcPr>
            <w:tcW w:w="146" w:type="dxa"/>
            <w:tcBorders>
              <w:top w:val="nil"/>
              <w:left w:val="nil"/>
              <w:bottom w:val="nil"/>
              <w:right w:val="nil"/>
            </w:tcBorders>
            <w:shd w:val="clear" w:color="auto" w:fill="auto"/>
            <w:noWrap/>
            <w:vAlign w:val="bottom"/>
            <w:hideMark/>
          </w:tcPr>
          <w:p w14:paraId="6AC34926"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0DA37FB"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EA277B8"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Pol</w:t>
            </w:r>
            <w:r>
              <w:rPr>
                <w:rFonts w:ascii="Calibri" w:eastAsia="Times New Roman" w:hAnsi="Calibri" w:cs="Calibri"/>
                <w:color w:val="000000"/>
                <w:lang w:eastAsia="fr-BE"/>
              </w:rPr>
              <w:t>ogne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9D79806"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8</w:t>
            </w:r>
          </w:p>
        </w:tc>
        <w:tc>
          <w:tcPr>
            <w:tcW w:w="146" w:type="dxa"/>
            <w:vAlign w:val="center"/>
            <w:hideMark/>
          </w:tcPr>
          <w:p w14:paraId="4EEFF146"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62444412"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5A53BFA3"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Espagne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9EBC973"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459C1692"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101AB80F"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C13C2D5"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France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D2645BC"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6</w:t>
            </w:r>
          </w:p>
        </w:tc>
        <w:tc>
          <w:tcPr>
            <w:tcW w:w="146" w:type="dxa"/>
            <w:vAlign w:val="center"/>
            <w:hideMark/>
          </w:tcPr>
          <w:p w14:paraId="504E2DEA"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7AC0394A"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6FF44D1D"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France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A3F44EE"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6</w:t>
            </w:r>
          </w:p>
        </w:tc>
        <w:tc>
          <w:tcPr>
            <w:tcW w:w="146" w:type="dxa"/>
            <w:tcBorders>
              <w:top w:val="nil"/>
              <w:left w:val="nil"/>
              <w:bottom w:val="nil"/>
              <w:right w:val="nil"/>
            </w:tcBorders>
            <w:shd w:val="clear" w:color="auto" w:fill="auto"/>
            <w:noWrap/>
            <w:vAlign w:val="bottom"/>
            <w:hideMark/>
          </w:tcPr>
          <w:p w14:paraId="38440773"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4DE87F8"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812E99F"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Lituani</w:t>
            </w:r>
            <w:r>
              <w:rPr>
                <w:rFonts w:ascii="Calibri" w:eastAsia="Times New Roman" w:hAnsi="Calibri" w:cs="Calibri"/>
                <w:color w:val="000000"/>
                <w:lang w:eastAsia="fr-BE"/>
              </w:rPr>
              <w:t>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89938E6"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6</w:t>
            </w:r>
          </w:p>
        </w:tc>
        <w:tc>
          <w:tcPr>
            <w:tcW w:w="146" w:type="dxa"/>
            <w:vAlign w:val="center"/>
            <w:hideMark/>
          </w:tcPr>
          <w:p w14:paraId="0928BBFB"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53A6D90C"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3B62B30F"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Ital</w:t>
            </w:r>
            <w:r>
              <w:rPr>
                <w:rFonts w:ascii="Calibri" w:eastAsia="Times New Roman" w:hAnsi="Calibri" w:cs="Calibri"/>
                <w:color w:val="000000"/>
                <w:lang w:eastAsia="fr-BE"/>
              </w:rPr>
              <w:t>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47C24EF"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12</w:t>
            </w:r>
          </w:p>
        </w:tc>
        <w:tc>
          <w:tcPr>
            <w:tcW w:w="146" w:type="dxa"/>
            <w:tcBorders>
              <w:top w:val="nil"/>
              <w:left w:val="nil"/>
              <w:bottom w:val="nil"/>
              <w:right w:val="nil"/>
            </w:tcBorders>
            <w:shd w:val="clear" w:color="auto" w:fill="auto"/>
            <w:noWrap/>
            <w:vAlign w:val="bottom"/>
            <w:hideMark/>
          </w:tcPr>
          <w:p w14:paraId="39A1C08A"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D642E33"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574D199E"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D</w:t>
            </w:r>
            <w:r>
              <w:rPr>
                <w:rFonts w:ascii="Calibri" w:eastAsia="Times New Roman" w:hAnsi="Calibri" w:cs="Calibri"/>
                <w:color w:val="000000"/>
                <w:lang w:eastAsia="fr-BE"/>
              </w:rPr>
              <w:t>a</w:t>
            </w:r>
            <w:r w:rsidRPr="00410B88">
              <w:rPr>
                <w:rFonts w:ascii="Calibri" w:eastAsia="Times New Roman" w:hAnsi="Calibri" w:cs="Calibri"/>
                <w:color w:val="000000"/>
                <w:lang w:eastAsia="fr-BE"/>
              </w:rPr>
              <w:t>n</w:t>
            </w:r>
            <w:r>
              <w:rPr>
                <w:rFonts w:ascii="Calibri" w:eastAsia="Times New Roman" w:hAnsi="Calibri" w:cs="Calibri"/>
                <w:color w:val="000000"/>
                <w:lang w:eastAsia="fr-BE"/>
              </w:rPr>
              <w:t>e</w:t>
            </w:r>
            <w:r w:rsidRPr="00410B88">
              <w:rPr>
                <w:rFonts w:ascii="Calibri" w:eastAsia="Times New Roman" w:hAnsi="Calibri" w:cs="Calibri"/>
                <w:color w:val="000000"/>
                <w:lang w:eastAsia="fr-BE"/>
              </w:rPr>
              <w:t>mark</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3DC99FD"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5</w:t>
            </w:r>
          </w:p>
        </w:tc>
        <w:tc>
          <w:tcPr>
            <w:tcW w:w="146" w:type="dxa"/>
            <w:vAlign w:val="center"/>
            <w:hideMark/>
          </w:tcPr>
          <w:p w14:paraId="010C65B7"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7107B04D"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42E18AB6"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L’île Maurice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19335E4"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67875A7F"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4EA79ED7"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F857CBE"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Tur</w:t>
            </w:r>
            <w:r>
              <w:rPr>
                <w:rFonts w:ascii="Calibri" w:eastAsia="Times New Roman" w:hAnsi="Calibri" w:cs="Calibri"/>
                <w:color w:val="000000"/>
                <w:lang w:eastAsia="fr-BE"/>
              </w:rPr>
              <w:t>quie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F0F4850"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5</w:t>
            </w:r>
          </w:p>
        </w:tc>
        <w:tc>
          <w:tcPr>
            <w:tcW w:w="146" w:type="dxa"/>
            <w:vAlign w:val="center"/>
            <w:hideMark/>
          </w:tcPr>
          <w:p w14:paraId="5855DCE2"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52EA13F0"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4F0370E2"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Lettonie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20E7221"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0F3D48A3"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D18573A"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9D726E2"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S</w:t>
            </w:r>
            <w:r>
              <w:rPr>
                <w:rFonts w:ascii="Calibri" w:eastAsia="Times New Roman" w:hAnsi="Calibri" w:cs="Calibri"/>
                <w:color w:val="000000"/>
                <w:lang w:eastAsia="fr-BE"/>
              </w:rPr>
              <w:t>uède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DFB8BA2"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4</w:t>
            </w:r>
          </w:p>
        </w:tc>
        <w:tc>
          <w:tcPr>
            <w:tcW w:w="146" w:type="dxa"/>
            <w:vAlign w:val="center"/>
            <w:hideMark/>
          </w:tcPr>
          <w:p w14:paraId="3628B665"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336778A7"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790BB075"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Lituani</w:t>
            </w:r>
            <w:r>
              <w:rPr>
                <w:rFonts w:ascii="Calibri" w:eastAsia="Times New Roman" w:hAnsi="Calibri" w:cs="Calibri"/>
                <w:color w:val="000000"/>
                <w:lang w:eastAsia="fr-BE"/>
              </w:rPr>
              <w:t>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07D6347"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6</w:t>
            </w:r>
          </w:p>
        </w:tc>
        <w:tc>
          <w:tcPr>
            <w:tcW w:w="146" w:type="dxa"/>
            <w:tcBorders>
              <w:top w:val="nil"/>
              <w:left w:val="nil"/>
              <w:bottom w:val="nil"/>
              <w:right w:val="nil"/>
            </w:tcBorders>
            <w:shd w:val="clear" w:color="auto" w:fill="auto"/>
            <w:noWrap/>
            <w:vAlign w:val="bottom"/>
            <w:hideMark/>
          </w:tcPr>
          <w:p w14:paraId="75566E7C"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FD98722"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721CF09"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Chin</w:t>
            </w:r>
            <w:r>
              <w:rPr>
                <w:rFonts w:ascii="Calibri" w:eastAsia="Times New Roman" w:hAnsi="Calibri" w:cs="Calibri"/>
                <w:color w:val="000000"/>
                <w:lang w:eastAsia="fr-BE"/>
              </w:rPr>
              <w:t>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7106223"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w:t>
            </w:r>
          </w:p>
        </w:tc>
        <w:tc>
          <w:tcPr>
            <w:tcW w:w="146" w:type="dxa"/>
            <w:vAlign w:val="center"/>
            <w:hideMark/>
          </w:tcPr>
          <w:p w14:paraId="2A91B8B3"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2A4852FF"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238C7F67"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Norvège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0005900"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086332E4"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0A3F8CB"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D8C64C8"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Singap</w:t>
            </w:r>
            <w:r>
              <w:rPr>
                <w:rFonts w:ascii="Calibri" w:eastAsia="Times New Roman" w:hAnsi="Calibri" w:cs="Calibri"/>
                <w:color w:val="000000"/>
                <w:lang w:eastAsia="fr-BE"/>
              </w:rPr>
              <w:t>our</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E0308BF"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w:t>
            </w:r>
          </w:p>
        </w:tc>
        <w:tc>
          <w:tcPr>
            <w:tcW w:w="146" w:type="dxa"/>
            <w:vAlign w:val="center"/>
            <w:hideMark/>
          </w:tcPr>
          <w:p w14:paraId="35737B27"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433F9A7D"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33A4D395"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Pays-Bas</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555D7E4"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75</w:t>
            </w:r>
          </w:p>
        </w:tc>
        <w:tc>
          <w:tcPr>
            <w:tcW w:w="146" w:type="dxa"/>
            <w:tcBorders>
              <w:top w:val="nil"/>
              <w:left w:val="nil"/>
              <w:bottom w:val="nil"/>
              <w:right w:val="nil"/>
            </w:tcBorders>
            <w:shd w:val="clear" w:color="auto" w:fill="auto"/>
            <w:noWrap/>
            <w:vAlign w:val="bottom"/>
            <w:hideMark/>
          </w:tcPr>
          <w:p w14:paraId="59481AB8"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E35FD54"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38445C5A"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Croati</w:t>
            </w:r>
            <w:r>
              <w:rPr>
                <w:rFonts w:ascii="Calibri" w:eastAsia="Times New Roman" w:hAnsi="Calibri" w:cs="Calibri"/>
                <w:color w:val="000000"/>
                <w:lang w:eastAsia="fr-BE"/>
              </w:rPr>
              <w:t>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197C48F"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265C6FF4"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65190914"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7A1685BF"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Pologne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D15F682"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8</w:t>
            </w:r>
          </w:p>
        </w:tc>
        <w:tc>
          <w:tcPr>
            <w:tcW w:w="146" w:type="dxa"/>
            <w:tcBorders>
              <w:top w:val="nil"/>
              <w:left w:val="nil"/>
              <w:bottom w:val="nil"/>
              <w:right w:val="nil"/>
            </w:tcBorders>
            <w:shd w:val="clear" w:color="auto" w:fill="auto"/>
            <w:noWrap/>
            <w:vAlign w:val="bottom"/>
            <w:hideMark/>
          </w:tcPr>
          <w:p w14:paraId="5E9EB875"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A175B8A"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3D1F7A5A"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L</w:t>
            </w:r>
            <w:r>
              <w:rPr>
                <w:rFonts w:ascii="Calibri" w:eastAsia="Times New Roman" w:hAnsi="Calibri" w:cs="Calibri"/>
                <w:color w:val="000000"/>
                <w:lang w:eastAsia="fr-BE"/>
              </w:rPr>
              <w:t>ettonie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BA59187"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19CCE926"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453D72B9"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0C7E3FE7"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Portugal</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2662927"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0445ABC4"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FDB3592"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17A32B29"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L’île Maurice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9BB86F4"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5A352E48"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76FC48E5"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6166F2A1"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Royaume-Uni</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576F902"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003B987F"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95600A7"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363C935"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Nor</w:t>
            </w:r>
            <w:r>
              <w:rPr>
                <w:rFonts w:ascii="Calibri" w:eastAsia="Times New Roman" w:hAnsi="Calibri" w:cs="Calibri"/>
                <w:color w:val="000000"/>
                <w:lang w:eastAsia="fr-BE"/>
              </w:rPr>
              <w:t>vège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62AC37E"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119AB41C"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61EE2BD8" w14:textId="77777777" w:rsidTr="00C07BA6">
        <w:trPr>
          <w:trHeight w:val="227"/>
        </w:trPr>
        <w:tc>
          <w:tcPr>
            <w:tcW w:w="2630" w:type="dxa"/>
            <w:tcBorders>
              <w:top w:val="nil"/>
              <w:left w:val="single" w:sz="8" w:space="0" w:color="auto"/>
              <w:bottom w:val="single" w:sz="4" w:space="0" w:color="auto"/>
              <w:right w:val="nil"/>
            </w:tcBorders>
            <w:shd w:val="clear" w:color="auto" w:fill="auto"/>
            <w:noWrap/>
            <w:vAlign w:val="bottom"/>
            <w:hideMark/>
          </w:tcPr>
          <w:p w14:paraId="47857845"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Singapo</w:t>
            </w:r>
            <w:r>
              <w:rPr>
                <w:rFonts w:ascii="Calibri" w:eastAsia="Times New Roman" w:hAnsi="Calibri" w:cs="Calibri"/>
                <w:color w:val="000000"/>
                <w:lang w:eastAsia="fr-BE"/>
              </w:rPr>
              <w:t>ur</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6663CB4D"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1D7B39D1"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1B65CF89"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BD76E9F"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Portugal</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2BB97EA"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71BFB0CA"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71D6B582" w14:textId="77777777" w:rsidTr="00C07BA6">
        <w:trPr>
          <w:trHeight w:val="227"/>
        </w:trPr>
        <w:tc>
          <w:tcPr>
            <w:tcW w:w="2630" w:type="dxa"/>
            <w:tcBorders>
              <w:top w:val="nil"/>
              <w:left w:val="single" w:sz="8" w:space="0" w:color="auto"/>
              <w:bottom w:val="nil"/>
              <w:right w:val="nil"/>
            </w:tcBorders>
            <w:shd w:val="clear" w:color="auto" w:fill="auto"/>
            <w:noWrap/>
            <w:vAlign w:val="bottom"/>
            <w:hideMark/>
          </w:tcPr>
          <w:p w14:paraId="0914F4FC"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S</w:t>
            </w:r>
            <w:r>
              <w:rPr>
                <w:rFonts w:ascii="Calibri" w:eastAsia="Times New Roman" w:hAnsi="Calibri" w:cs="Calibri"/>
                <w:color w:val="000000"/>
                <w:lang w:eastAsia="fr-BE"/>
              </w:rPr>
              <w:t>uède</w:t>
            </w:r>
          </w:p>
        </w:tc>
        <w:tc>
          <w:tcPr>
            <w:tcW w:w="1371" w:type="dxa"/>
            <w:tcBorders>
              <w:top w:val="nil"/>
              <w:left w:val="single" w:sz="8" w:space="0" w:color="auto"/>
              <w:bottom w:val="nil"/>
              <w:right w:val="single" w:sz="8" w:space="0" w:color="auto"/>
            </w:tcBorders>
            <w:shd w:val="clear" w:color="auto" w:fill="auto"/>
            <w:noWrap/>
            <w:vAlign w:val="bottom"/>
            <w:hideMark/>
          </w:tcPr>
          <w:p w14:paraId="04071029"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4</w:t>
            </w:r>
          </w:p>
        </w:tc>
        <w:tc>
          <w:tcPr>
            <w:tcW w:w="146" w:type="dxa"/>
            <w:tcBorders>
              <w:top w:val="nil"/>
              <w:left w:val="nil"/>
              <w:bottom w:val="nil"/>
              <w:right w:val="nil"/>
            </w:tcBorders>
            <w:shd w:val="clear" w:color="auto" w:fill="auto"/>
            <w:noWrap/>
            <w:vAlign w:val="bottom"/>
            <w:hideMark/>
          </w:tcPr>
          <w:p w14:paraId="1E03B99B"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FF43871"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nil"/>
              <w:right w:val="nil"/>
            </w:tcBorders>
            <w:shd w:val="clear" w:color="auto" w:fill="auto"/>
            <w:noWrap/>
            <w:vAlign w:val="bottom"/>
            <w:hideMark/>
          </w:tcPr>
          <w:p w14:paraId="27260551"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Espagne</w:t>
            </w:r>
          </w:p>
        </w:tc>
        <w:tc>
          <w:tcPr>
            <w:tcW w:w="1371" w:type="dxa"/>
            <w:tcBorders>
              <w:top w:val="nil"/>
              <w:left w:val="single" w:sz="8" w:space="0" w:color="auto"/>
              <w:bottom w:val="nil"/>
              <w:right w:val="single" w:sz="8" w:space="0" w:color="auto"/>
            </w:tcBorders>
            <w:shd w:val="clear" w:color="auto" w:fill="auto"/>
            <w:noWrap/>
            <w:vAlign w:val="bottom"/>
            <w:hideMark/>
          </w:tcPr>
          <w:p w14:paraId="78A6CC17"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31F07C20"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6AC44158" w14:textId="77777777" w:rsidTr="00C07BA6">
        <w:trPr>
          <w:trHeight w:val="227"/>
        </w:trPr>
        <w:tc>
          <w:tcPr>
            <w:tcW w:w="2630" w:type="dxa"/>
            <w:tcBorders>
              <w:top w:val="single" w:sz="4" w:space="0" w:color="auto"/>
              <w:left w:val="single" w:sz="8" w:space="0" w:color="auto"/>
              <w:bottom w:val="single" w:sz="4" w:space="0" w:color="auto"/>
              <w:right w:val="nil"/>
            </w:tcBorders>
            <w:shd w:val="clear" w:color="auto" w:fill="auto"/>
            <w:noWrap/>
            <w:vAlign w:val="bottom"/>
            <w:hideMark/>
          </w:tcPr>
          <w:p w14:paraId="54FE2CEB"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Suisse</w:t>
            </w:r>
          </w:p>
        </w:tc>
        <w:tc>
          <w:tcPr>
            <w:tcW w:w="13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60E1467"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553195DF"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A4F7FC6"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single" w:sz="4" w:space="0" w:color="auto"/>
              <w:left w:val="single" w:sz="8" w:space="0" w:color="auto"/>
              <w:bottom w:val="single" w:sz="4" w:space="0" w:color="auto"/>
              <w:right w:val="nil"/>
            </w:tcBorders>
            <w:shd w:val="clear" w:color="auto" w:fill="auto"/>
            <w:noWrap/>
            <w:vAlign w:val="bottom"/>
            <w:hideMark/>
          </w:tcPr>
          <w:p w14:paraId="06E5C120" w14:textId="77777777" w:rsidR="009020BB" w:rsidRPr="00410B88" w:rsidRDefault="009020BB" w:rsidP="00C07BA6">
            <w:pPr>
              <w:spacing w:after="0" w:line="240" w:lineRule="auto"/>
              <w:rPr>
                <w:rFonts w:ascii="Calibri" w:eastAsia="Times New Roman" w:hAnsi="Calibri" w:cs="Calibri"/>
                <w:color w:val="000000"/>
                <w:lang w:eastAsia="fr-BE"/>
              </w:rPr>
            </w:pPr>
            <w:r w:rsidRPr="00410B88">
              <w:rPr>
                <w:rFonts w:ascii="Calibri" w:eastAsia="Times New Roman" w:hAnsi="Calibri" w:cs="Calibri"/>
                <w:color w:val="000000"/>
                <w:lang w:eastAsia="fr-BE"/>
              </w:rPr>
              <w:t>S</w:t>
            </w:r>
            <w:r>
              <w:rPr>
                <w:rFonts w:ascii="Calibri" w:eastAsia="Times New Roman" w:hAnsi="Calibri" w:cs="Calibri"/>
                <w:color w:val="000000"/>
                <w:lang w:eastAsia="fr-BE"/>
              </w:rPr>
              <w:t>uisse</w:t>
            </w:r>
          </w:p>
        </w:tc>
        <w:tc>
          <w:tcPr>
            <w:tcW w:w="13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72E9535"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111EEF05"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6BEA1152" w14:textId="77777777" w:rsidTr="00C07BA6">
        <w:trPr>
          <w:trHeight w:val="227"/>
        </w:trPr>
        <w:tc>
          <w:tcPr>
            <w:tcW w:w="2630" w:type="dxa"/>
            <w:tcBorders>
              <w:top w:val="nil"/>
              <w:left w:val="single" w:sz="8" w:space="0" w:color="auto"/>
              <w:bottom w:val="single" w:sz="8" w:space="0" w:color="auto"/>
              <w:right w:val="nil"/>
            </w:tcBorders>
            <w:shd w:val="clear" w:color="auto" w:fill="auto"/>
            <w:noWrap/>
            <w:vAlign w:val="bottom"/>
            <w:hideMark/>
          </w:tcPr>
          <w:p w14:paraId="060BC575"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Turquie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0CA2CFFB" w14:textId="77777777" w:rsidR="009020BB" w:rsidRPr="00410B88"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5</w:t>
            </w:r>
          </w:p>
        </w:tc>
        <w:tc>
          <w:tcPr>
            <w:tcW w:w="146" w:type="dxa"/>
            <w:tcBorders>
              <w:top w:val="nil"/>
              <w:left w:val="nil"/>
              <w:bottom w:val="nil"/>
              <w:right w:val="nil"/>
            </w:tcBorders>
            <w:shd w:val="clear" w:color="auto" w:fill="auto"/>
            <w:noWrap/>
            <w:vAlign w:val="bottom"/>
            <w:hideMark/>
          </w:tcPr>
          <w:p w14:paraId="5D1185AE"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4425894"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004CDC9E" w14:textId="77777777" w:rsidR="009020BB" w:rsidRPr="00410B88"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Royaume-Uni</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1FB84B61"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1</w:t>
            </w:r>
          </w:p>
        </w:tc>
        <w:tc>
          <w:tcPr>
            <w:tcW w:w="146" w:type="dxa"/>
            <w:vAlign w:val="center"/>
            <w:hideMark/>
          </w:tcPr>
          <w:p w14:paraId="7C3081A2"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r w:rsidR="009020BB" w:rsidRPr="00410B88" w14:paraId="144D9521" w14:textId="77777777" w:rsidTr="00C07BA6">
        <w:trPr>
          <w:trHeight w:val="227"/>
        </w:trPr>
        <w:tc>
          <w:tcPr>
            <w:tcW w:w="2630" w:type="dxa"/>
            <w:tcBorders>
              <w:top w:val="nil"/>
              <w:left w:val="nil"/>
              <w:bottom w:val="nil"/>
              <w:right w:val="nil"/>
            </w:tcBorders>
            <w:shd w:val="clear" w:color="auto" w:fill="auto"/>
            <w:noWrap/>
            <w:vAlign w:val="bottom"/>
            <w:hideMark/>
          </w:tcPr>
          <w:p w14:paraId="0DA75F2B"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68FAA925"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229</w:t>
            </w:r>
          </w:p>
        </w:tc>
        <w:tc>
          <w:tcPr>
            <w:tcW w:w="146" w:type="dxa"/>
            <w:tcBorders>
              <w:top w:val="nil"/>
              <w:left w:val="nil"/>
              <w:bottom w:val="nil"/>
              <w:right w:val="nil"/>
            </w:tcBorders>
            <w:shd w:val="clear" w:color="auto" w:fill="auto"/>
            <w:noWrap/>
            <w:vAlign w:val="bottom"/>
            <w:hideMark/>
          </w:tcPr>
          <w:p w14:paraId="7337D6F1" w14:textId="77777777" w:rsidR="009020BB" w:rsidRPr="00410B88"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403DC7F9"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nil"/>
              <w:bottom w:val="nil"/>
              <w:right w:val="nil"/>
            </w:tcBorders>
            <w:shd w:val="clear" w:color="auto" w:fill="auto"/>
            <w:noWrap/>
            <w:vAlign w:val="bottom"/>
            <w:hideMark/>
          </w:tcPr>
          <w:p w14:paraId="1D2D6F01"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73084124" w14:textId="77777777" w:rsidR="009020BB" w:rsidRPr="00410B88" w:rsidRDefault="009020BB" w:rsidP="00C07BA6">
            <w:pPr>
              <w:spacing w:after="0" w:line="240" w:lineRule="auto"/>
              <w:jc w:val="center"/>
              <w:rPr>
                <w:rFonts w:ascii="Calibri" w:eastAsia="Times New Roman" w:hAnsi="Calibri" w:cs="Calibri"/>
                <w:color w:val="000000"/>
                <w:lang w:eastAsia="fr-BE"/>
              </w:rPr>
            </w:pPr>
            <w:r w:rsidRPr="00410B88">
              <w:rPr>
                <w:rFonts w:ascii="Calibri" w:eastAsia="Times New Roman" w:hAnsi="Calibri" w:cs="Calibri"/>
                <w:color w:val="000000"/>
                <w:lang w:eastAsia="fr-BE"/>
              </w:rPr>
              <w:t>229</w:t>
            </w:r>
          </w:p>
        </w:tc>
        <w:tc>
          <w:tcPr>
            <w:tcW w:w="146" w:type="dxa"/>
            <w:vAlign w:val="center"/>
            <w:hideMark/>
          </w:tcPr>
          <w:p w14:paraId="1EB802BB" w14:textId="77777777" w:rsidR="009020BB" w:rsidRPr="00410B88" w:rsidRDefault="009020BB" w:rsidP="00C07BA6">
            <w:pPr>
              <w:spacing w:after="0" w:line="240" w:lineRule="auto"/>
              <w:rPr>
                <w:rFonts w:ascii="Times New Roman" w:eastAsia="Times New Roman" w:hAnsi="Times New Roman" w:cs="Times New Roman"/>
                <w:sz w:val="20"/>
                <w:szCs w:val="20"/>
                <w:lang w:eastAsia="fr-BE"/>
              </w:rPr>
            </w:pPr>
          </w:p>
        </w:tc>
      </w:tr>
    </w:tbl>
    <w:p w14:paraId="362372C7" w14:textId="77777777" w:rsidR="00437105" w:rsidRPr="00824705" w:rsidRDefault="00437105" w:rsidP="0041454E"/>
    <w:p w14:paraId="08F71D8E" w14:textId="77777777" w:rsidR="0041454E" w:rsidRDefault="00437105">
      <w:r>
        <w:t>Le Salon du Meuble 2023 compte 229 exposants, soit 14 de plus qu’en 2022. Nous notons surtout une forte hausse du nombre d’exposants belges (+ 10) et néerlandais (+ 7). Concernant la surface totale occupée du salon, ce</w:t>
      </w:r>
      <w:r w:rsidR="009A07AD">
        <w:t xml:space="preserve">lle-ci affiche </w:t>
      </w:r>
      <w:r>
        <w:t>une augmentation de près de 5 000 m².</w:t>
      </w:r>
    </w:p>
    <w:p w14:paraId="0B357B39" w14:textId="77777777" w:rsidR="00437105" w:rsidRDefault="00437105">
      <w:r>
        <w:t>Les éléments les plus marquants sont l’occupation complète du palais 4, une extension des stands « traditionnels » du palais 3 et une nette croissance au palais 6. Nous pouvons ainsi annoncer qu’à l’exception de Brussels by Night, les palais sont pour la première fois depuis longtemps complètement remplis.</w:t>
      </w:r>
    </w:p>
    <w:p w14:paraId="1DC4FABF" w14:textId="77777777" w:rsidR="00437105" w:rsidRDefault="00437105">
      <w:r>
        <w:t xml:space="preserve">Avec le déménagement de nos fidèles exposants Passe Partout et </w:t>
      </w:r>
      <w:proofErr w:type="spellStart"/>
      <w:r>
        <w:t>Recor</w:t>
      </w:r>
      <w:proofErr w:type="spellEnd"/>
      <w:r>
        <w:t xml:space="preserve"> Group du palais 5 vers le palais 4 dans le but de disposer d’un plus grand stand, le top 3</w:t>
      </w:r>
      <w:r w:rsidR="008529CA">
        <w:t xml:space="preserve"> des plus grandes superficies de stand </w:t>
      </w:r>
      <w:r w:rsidR="009A07AD">
        <w:t>revêt un nouveau visage.</w:t>
      </w:r>
    </w:p>
    <w:tbl>
      <w:tblPr>
        <w:tblW w:w="3100" w:type="dxa"/>
        <w:tblInd w:w="1605" w:type="dxa"/>
        <w:tblCellMar>
          <w:left w:w="70" w:type="dxa"/>
          <w:right w:w="70" w:type="dxa"/>
        </w:tblCellMar>
        <w:tblLook w:val="04A0" w:firstRow="1" w:lastRow="0" w:firstColumn="1" w:lastColumn="0" w:noHBand="0" w:noVBand="1"/>
      </w:tblPr>
      <w:tblGrid>
        <w:gridCol w:w="2085"/>
        <w:gridCol w:w="1015"/>
      </w:tblGrid>
      <w:tr w:rsidR="008529CA" w:rsidRPr="00B96F9C" w14:paraId="716857FC" w14:textId="77777777" w:rsidTr="00EB0E25">
        <w:trPr>
          <w:trHeight w:val="300"/>
        </w:trPr>
        <w:tc>
          <w:tcPr>
            <w:tcW w:w="3100" w:type="dxa"/>
            <w:gridSpan w:val="2"/>
            <w:tcBorders>
              <w:top w:val="nil"/>
              <w:left w:val="nil"/>
              <w:bottom w:val="nil"/>
              <w:right w:val="nil"/>
            </w:tcBorders>
            <w:shd w:val="clear" w:color="auto" w:fill="auto"/>
            <w:noWrap/>
            <w:vAlign w:val="bottom"/>
            <w:hideMark/>
          </w:tcPr>
          <w:p w14:paraId="28D43E57" w14:textId="77777777" w:rsidR="008529CA" w:rsidRPr="00B96F9C" w:rsidRDefault="008529CA" w:rsidP="008529CA">
            <w:pPr>
              <w:spacing w:after="0" w:line="240" w:lineRule="auto"/>
              <w:rPr>
                <w:rFonts w:ascii="Calibri" w:eastAsia="Times New Roman" w:hAnsi="Calibri" w:cs="Calibri"/>
                <w:b/>
                <w:bCs/>
                <w:color w:val="000000"/>
                <w:lang w:eastAsia="fr-BE"/>
              </w:rPr>
            </w:pPr>
            <w:r w:rsidRPr="00B96F9C">
              <w:rPr>
                <w:rFonts w:ascii="Calibri" w:eastAsia="Times New Roman" w:hAnsi="Calibri" w:cs="Calibri"/>
                <w:b/>
                <w:bCs/>
                <w:color w:val="000000"/>
                <w:lang w:eastAsia="fr-BE"/>
              </w:rPr>
              <w:t xml:space="preserve">TOP 3 </w:t>
            </w:r>
            <w:r>
              <w:rPr>
                <w:rFonts w:ascii="Calibri" w:eastAsia="Times New Roman" w:hAnsi="Calibri" w:cs="Calibri"/>
                <w:b/>
                <w:bCs/>
                <w:color w:val="000000"/>
                <w:lang w:eastAsia="fr-BE"/>
              </w:rPr>
              <w:t>surfaces de stand 2023</w:t>
            </w:r>
          </w:p>
        </w:tc>
      </w:tr>
      <w:tr w:rsidR="008529CA" w:rsidRPr="00B96F9C" w14:paraId="601C3B73" w14:textId="77777777" w:rsidTr="00EB0E25">
        <w:trPr>
          <w:trHeight w:val="300"/>
        </w:trPr>
        <w:tc>
          <w:tcPr>
            <w:tcW w:w="2085" w:type="dxa"/>
            <w:tcBorders>
              <w:top w:val="nil"/>
              <w:left w:val="nil"/>
              <w:bottom w:val="nil"/>
              <w:right w:val="nil"/>
            </w:tcBorders>
            <w:shd w:val="clear" w:color="auto" w:fill="auto"/>
            <w:noWrap/>
            <w:vAlign w:val="bottom"/>
            <w:hideMark/>
          </w:tcPr>
          <w:p w14:paraId="4B044A38" w14:textId="77777777" w:rsidR="008529CA" w:rsidRPr="00B96F9C" w:rsidRDefault="008529CA" w:rsidP="00EB0E25">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MECAM</w:t>
            </w:r>
          </w:p>
        </w:tc>
        <w:tc>
          <w:tcPr>
            <w:tcW w:w="1015" w:type="dxa"/>
            <w:tcBorders>
              <w:top w:val="nil"/>
              <w:left w:val="nil"/>
              <w:bottom w:val="nil"/>
              <w:right w:val="nil"/>
            </w:tcBorders>
            <w:shd w:val="clear" w:color="auto" w:fill="auto"/>
            <w:noWrap/>
            <w:vAlign w:val="bottom"/>
            <w:hideMark/>
          </w:tcPr>
          <w:p w14:paraId="7EA020EE" w14:textId="77777777" w:rsidR="008529CA" w:rsidRPr="00B96F9C" w:rsidRDefault="008529CA" w:rsidP="00EB0E25">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1523</w:t>
            </w:r>
            <w:r>
              <w:rPr>
                <w:rFonts w:ascii="Calibri" w:eastAsia="Times New Roman" w:hAnsi="Calibri" w:cs="Calibri"/>
                <w:color w:val="000000"/>
                <w:lang w:eastAsia="fr-BE"/>
              </w:rPr>
              <w:t> </w:t>
            </w:r>
            <w:r w:rsidRPr="00B96F9C">
              <w:rPr>
                <w:rFonts w:ascii="Calibri" w:eastAsia="Times New Roman" w:hAnsi="Calibri" w:cs="Calibri"/>
                <w:color w:val="000000"/>
                <w:lang w:eastAsia="fr-BE"/>
              </w:rPr>
              <w:t>m²</w:t>
            </w:r>
          </w:p>
        </w:tc>
      </w:tr>
      <w:tr w:rsidR="008529CA" w:rsidRPr="00B96F9C" w14:paraId="35A9E7C3" w14:textId="77777777" w:rsidTr="00EB0E25">
        <w:trPr>
          <w:trHeight w:val="300"/>
        </w:trPr>
        <w:tc>
          <w:tcPr>
            <w:tcW w:w="2085" w:type="dxa"/>
            <w:tcBorders>
              <w:top w:val="nil"/>
              <w:left w:val="nil"/>
              <w:bottom w:val="nil"/>
              <w:right w:val="nil"/>
            </w:tcBorders>
            <w:shd w:val="clear" w:color="auto" w:fill="auto"/>
            <w:noWrap/>
            <w:vAlign w:val="bottom"/>
            <w:hideMark/>
          </w:tcPr>
          <w:p w14:paraId="3621A7AF" w14:textId="77777777" w:rsidR="008529CA" w:rsidRPr="00B96F9C" w:rsidRDefault="008529CA" w:rsidP="00EB0E25">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RECOR</w:t>
            </w:r>
          </w:p>
        </w:tc>
        <w:tc>
          <w:tcPr>
            <w:tcW w:w="1015" w:type="dxa"/>
            <w:tcBorders>
              <w:top w:val="nil"/>
              <w:left w:val="nil"/>
              <w:bottom w:val="nil"/>
              <w:right w:val="nil"/>
            </w:tcBorders>
            <w:shd w:val="clear" w:color="auto" w:fill="auto"/>
            <w:noWrap/>
            <w:vAlign w:val="bottom"/>
            <w:hideMark/>
          </w:tcPr>
          <w:p w14:paraId="442AB68C" w14:textId="77777777" w:rsidR="008529CA" w:rsidRPr="00B96F9C" w:rsidRDefault="008529CA" w:rsidP="00EB0E25">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1328</w:t>
            </w:r>
            <w:r>
              <w:rPr>
                <w:rFonts w:ascii="Calibri" w:eastAsia="Times New Roman" w:hAnsi="Calibri" w:cs="Calibri"/>
                <w:color w:val="000000"/>
                <w:lang w:eastAsia="fr-BE"/>
              </w:rPr>
              <w:t> </w:t>
            </w:r>
            <w:r w:rsidRPr="00B96F9C">
              <w:rPr>
                <w:rFonts w:ascii="Calibri" w:eastAsia="Times New Roman" w:hAnsi="Calibri" w:cs="Calibri"/>
                <w:color w:val="000000"/>
                <w:lang w:eastAsia="fr-BE"/>
              </w:rPr>
              <w:t>m²</w:t>
            </w:r>
          </w:p>
        </w:tc>
      </w:tr>
      <w:tr w:rsidR="008529CA" w:rsidRPr="00B96F9C" w14:paraId="341E137E" w14:textId="77777777" w:rsidTr="00EB0E25">
        <w:trPr>
          <w:trHeight w:val="300"/>
        </w:trPr>
        <w:tc>
          <w:tcPr>
            <w:tcW w:w="2085" w:type="dxa"/>
            <w:tcBorders>
              <w:top w:val="nil"/>
              <w:left w:val="nil"/>
              <w:bottom w:val="nil"/>
              <w:right w:val="nil"/>
            </w:tcBorders>
            <w:shd w:val="clear" w:color="auto" w:fill="auto"/>
            <w:noWrap/>
            <w:vAlign w:val="bottom"/>
            <w:hideMark/>
          </w:tcPr>
          <w:p w14:paraId="522CE194" w14:textId="77777777" w:rsidR="008529CA" w:rsidRPr="00B96F9C" w:rsidRDefault="008529CA" w:rsidP="00EB0E25">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PASSE PARTOUT</w:t>
            </w:r>
          </w:p>
        </w:tc>
        <w:tc>
          <w:tcPr>
            <w:tcW w:w="1015" w:type="dxa"/>
            <w:tcBorders>
              <w:top w:val="nil"/>
              <w:left w:val="nil"/>
              <w:bottom w:val="nil"/>
              <w:right w:val="nil"/>
            </w:tcBorders>
            <w:shd w:val="clear" w:color="auto" w:fill="auto"/>
            <w:noWrap/>
            <w:vAlign w:val="bottom"/>
            <w:hideMark/>
          </w:tcPr>
          <w:p w14:paraId="1ED6DE62" w14:textId="77777777" w:rsidR="008529CA" w:rsidRPr="00B96F9C" w:rsidRDefault="008529CA" w:rsidP="00EB0E25">
            <w:pPr>
              <w:spacing w:after="0" w:line="240" w:lineRule="auto"/>
              <w:rPr>
                <w:rFonts w:ascii="Calibri" w:eastAsia="Times New Roman" w:hAnsi="Calibri" w:cs="Calibri"/>
                <w:color w:val="000000"/>
                <w:lang w:eastAsia="fr-BE"/>
              </w:rPr>
            </w:pPr>
            <w:r w:rsidRPr="00B96F9C">
              <w:rPr>
                <w:rFonts w:ascii="Calibri" w:eastAsia="Times New Roman" w:hAnsi="Calibri" w:cs="Calibri"/>
                <w:color w:val="000000"/>
                <w:lang w:eastAsia="fr-BE"/>
              </w:rPr>
              <w:t>1040</w:t>
            </w:r>
            <w:r>
              <w:rPr>
                <w:rFonts w:ascii="Calibri" w:eastAsia="Times New Roman" w:hAnsi="Calibri" w:cs="Calibri"/>
                <w:color w:val="000000"/>
                <w:lang w:eastAsia="fr-BE"/>
              </w:rPr>
              <w:t> </w:t>
            </w:r>
            <w:r w:rsidRPr="00B96F9C">
              <w:rPr>
                <w:rFonts w:ascii="Calibri" w:eastAsia="Times New Roman" w:hAnsi="Calibri" w:cs="Calibri"/>
                <w:color w:val="000000"/>
                <w:lang w:eastAsia="fr-BE"/>
              </w:rPr>
              <w:t>m²</w:t>
            </w:r>
          </w:p>
        </w:tc>
      </w:tr>
    </w:tbl>
    <w:p w14:paraId="00DEA3F7" w14:textId="77777777" w:rsidR="008529CA" w:rsidRDefault="008529CA"/>
    <w:p w14:paraId="7844F060" w14:textId="77777777" w:rsidR="008529CA" w:rsidRPr="008529CA" w:rsidRDefault="008529CA">
      <w:pPr>
        <w:rPr>
          <w:b/>
        </w:rPr>
      </w:pPr>
      <w:r w:rsidRPr="008529CA">
        <w:rPr>
          <w:b/>
        </w:rPr>
        <w:t>Brussels by Night</w:t>
      </w:r>
    </w:p>
    <w:p w14:paraId="07C6952E" w14:textId="1B6B2E89" w:rsidR="008529CA" w:rsidRDefault="008529CA">
      <w:r>
        <w:t xml:space="preserve">Le palais du sommeil Brussels by Night reste un segment </w:t>
      </w:r>
      <w:r w:rsidR="00241774">
        <w:t>au potentiel important</w:t>
      </w:r>
      <w:r>
        <w:t xml:space="preserve">. Et cette année encore, le Salon du Meuble enregistre une belle </w:t>
      </w:r>
      <w:r w:rsidR="00241774">
        <w:t>progression</w:t>
      </w:r>
      <w:r>
        <w:t>, puisque le segment affiche la plus forte croissance</w:t>
      </w:r>
      <w:r w:rsidR="00241774">
        <w:t xml:space="preserve"> du Salon</w:t>
      </w:r>
      <w:r>
        <w:t xml:space="preserve">, avec 350 m² de plus que l’année dernière. Ici aussi, nous pensons à l’avenir : nous sommes en effet convaincus que Bruxelles constitue la plateforme adéquate pour </w:t>
      </w:r>
      <w:r w:rsidR="00241774">
        <w:t>accueillir</w:t>
      </w:r>
      <w:r>
        <w:t xml:space="preserve"> une sorte de « salon du sommeil ». </w:t>
      </w:r>
      <w:r w:rsidR="00303577">
        <w:t>Par ailleurs, u</w:t>
      </w:r>
      <w:r>
        <w:t xml:space="preserve">ne part considérable de nos visiteurs </w:t>
      </w:r>
      <w:r w:rsidR="00303577">
        <w:t>indiquent, lors de leur inscription, travailler dans un magasin de literie ou être intéressé</w:t>
      </w:r>
      <w:r w:rsidR="007520B4">
        <w:t xml:space="preserve">s </w:t>
      </w:r>
      <w:r w:rsidR="00303577">
        <w:t xml:space="preserve">par des produits du </w:t>
      </w:r>
      <w:r w:rsidR="00303577" w:rsidRPr="007520B4">
        <w:t>segment du sommeil (</w:t>
      </w:r>
      <w:r w:rsidR="007520B4" w:rsidRPr="007520B4">
        <w:t xml:space="preserve">plus de </w:t>
      </w:r>
      <w:r w:rsidR="00303577" w:rsidRPr="007520B4">
        <w:t>20 %). Le succès commercial rencontré par les exposants en 2022 a</w:t>
      </w:r>
      <w:r w:rsidR="00303577">
        <w:t xml:space="preserve"> aussi </w:t>
      </w:r>
      <w:r w:rsidR="00241774">
        <w:t>servi de signal pour nous encourager à continuer d’investir dans</w:t>
      </w:r>
      <w:r w:rsidR="00303577">
        <w:t xml:space="preserve"> l’avenir de Brussels by Night. Pour cette édition</w:t>
      </w:r>
      <w:r w:rsidR="00241774">
        <w:t xml:space="preserve"> 2023</w:t>
      </w:r>
      <w:r w:rsidR="00303577">
        <w:t xml:space="preserve">, le plus important </w:t>
      </w:r>
      <w:r w:rsidR="00241774">
        <w:t>à nos yeux</w:t>
      </w:r>
      <w:r w:rsidR="00303577">
        <w:t xml:space="preserve"> était d’élargir la surface d’exposition tout en maintenant un même </w:t>
      </w:r>
      <w:r w:rsidR="00303577" w:rsidRPr="007520B4">
        <w:t xml:space="preserve">niveau de qualité. Avec la présence de fabricants tels que </w:t>
      </w:r>
      <w:proofErr w:type="spellStart"/>
      <w:r w:rsidR="00303577" w:rsidRPr="007520B4">
        <w:t>Hilding</w:t>
      </w:r>
      <w:proofErr w:type="spellEnd"/>
      <w:r w:rsidR="00303577" w:rsidRPr="007520B4">
        <w:t xml:space="preserve"> Anders, </w:t>
      </w:r>
      <w:proofErr w:type="spellStart"/>
      <w:r w:rsidR="00303577" w:rsidRPr="007520B4">
        <w:t>Nill</w:t>
      </w:r>
      <w:proofErr w:type="spellEnd"/>
      <w:r w:rsidR="00303577" w:rsidRPr="007520B4">
        <w:t xml:space="preserve"> Spring, </w:t>
      </w:r>
      <w:proofErr w:type="spellStart"/>
      <w:r w:rsidR="00303577" w:rsidRPr="007520B4">
        <w:t>Haarhuis</w:t>
      </w:r>
      <w:proofErr w:type="spellEnd"/>
      <w:r w:rsidR="00303577" w:rsidRPr="007520B4">
        <w:t xml:space="preserve"> &amp; Jansen</w:t>
      </w:r>
      <w:r w:rsidR="007520B4" w:rsidRPr="007520B4">
        <w:t>,</w:t>
      </w:r>
      <w:r w:rsidR="00303577" w:rsidRPr="007520B4">
        <w:t xml:space="preserve"> </w:t>
      </w:r>
      <w:proofErr w:type="spellStart"/>
      <w:r w:rsidR="00303577" w:rsidRPr="007520B4">
        <w:t>Hukla</w:t>
      </w:r>
      <w:proofErr w:type="spellEnd"/>
      <w:r w:rsidR="00303577" w:rsidRPr="007520B4">
        <w:t xml:space="preserve">, Aya of Sweden, </w:t>
      </w:r>
      <w:proofErr w:type="spellStart"/>
      <w:r w:rsidR="00303577" w:rsidRPr="007520B4">
        <w:t>Dauny</w:t>
      </w:r>
      <w:proofErr w:type="spellEnd"/>
      <w:r w:rsidR="00303577" w:rsidRPr="007520B4">
        <w:t xml:space="preserve">, </w:t>
      </w:r>
      <w:proofErr w:type="spellStart"/>
      <w:r w:rsidR="00303577" w:rsidRPr="007520B4">
        <w:t>Elsach</w:t>
      </w:r>
      <w:proofErr w:type="spellEnd"/>
      <w:r w:rsidR="00303577" w:rsidRPr="007520B4">
        <w:t xml:space="preserve"> et </w:t>
      </w:r>
      <w:proofErr w:type="spellStart"/>
      <w:r w:rsidR="00303577" w:rsidRPr="007520B4">
        <w:t>Arctic</w:t>
      </w:r>
      <w:proofErr w:type="spellEnd"/>
      <w:r w:rsidR="00303577" w:rsidRPr="007520B4">
        <w:t xml:space="preserve"> Living </w:t>
      </w:r>
      <w:r w:rsidR="007A5D3A">
        <w:t>—</w:t>
      </w:r>
      <w:r w:rsidR="00303577" w:rsidRPr="007520B4">
        <w:t xml:space="preserve"> qui exposent pour la première fois à Bruxelles ou sont de retour après quelque temps </w:t>
      </w:r>
      <w:r w:rsidR="007A5D3A">
        <w:t>—</w:t>
      </w:r>
      <w:r w:rsidR="00303577" w:rsidRPr="007520B4">
        <w:t>, nous pouvons même parler d’un boost</w:t>
      </w:r>
      <w:r w:rsidR="00303577">
        <w:t xml:space="preserve"> qualitatif.</w:t>
      </w:r>
    </w:p>
    <w:p w14:paraId="6A6C9DB8" w14:textId="2E7A09E8" w:rsidR="00000225" w:rsidRDefault="00303577">
      <w:r>
        <w:t>Il reste bien sûr</w:t>
      </w:r>
      <w:r w:rsidR="00EB0E25">
        <w:t xml:space="preserve"> des points à travailler. Nous </w:t>
      </w:r>
      <w:r w:rsidR="00241774">
        <w:t>regrettons</w:t>
      </w:r>
      <w:r w:rsidR="00EB0E25">
        <w:t xml:space="preserve"> ainsi l’absence d’exposants français à Brussels by Night, pourtant un pays au grand potentiel dans le domaine du confort du sommeil.</w:t>
      </w:r>
    </w:p>
    <w:p w14:paraId="13850BE4" w14:textId="30CE21C9" w:rsidR="000409CE" w:rsidRDefault="000409CE">
      <w:r>
        <w:br w:type="page"/>
      </w:r>
    </w:p>
    <w:tbl>
      <w:tblPr>
        <w:tblW w:w="8440" w:type="dxa"/>
        <w:tblCellMar>
          <w:left w:w="70" w:type="dxa"/>
          <w:right w:w="70" w:type="dxa"/>
        </w:tblCellMar>
        <w:tblLook w:val="04A0" w:firstRow="1" w:lastRow="0" w:firstColumn="1" w:lastColumn="0" w:noHBand="0" w:noVBand="1"/>
      </w:tblPr>
      <w:tblGrid>
        <w:gridCol w:w="2630"/>
        <w:gridCol w:w="1371"/>
        <w:gridCol w:w="146"/>
        <w:gridCol w:w="146"/>
        <w:gridCol w:w="2630"/>
        <w:gridCol w:w="1371"/>
        <w:gridCol w:w="146"/>
      </w:tblGrid>
      <w:tr w:rsidR="009020BB" w:rsidRPr="00C01F53" w14:paraId="7C33DA27" w14:textId="77777777" w:rsidTr="000409CE">
        <w:trPr>
          <w:gridAfter w:val="1"/>
          <w:wAfter w:w="146" w:type="dxa"/>
          <w:trHeight w:val="537"/>
        </w:trPr>
        <w:tc>
          <w:tcPr>
            <w:tcW w:w="8294"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44F2B10" w14:textId="77777777" w:rsidR="009020BB" w:rsidRPr="00C01F53" w:rsidRDefault="009020BB" w:rsidP="00C07BA6">
            <w:pPr>
              <w:spacing w:after="0" w:line="240" w:lineRule="auto"/>
              <w:jc w:val="center"/>
              <w:rPr>
                <w:rFonts w:ascii="Calibri" w:eastAsia="Times New Roman" w:hAnsi="Calibri" w:cs="Calibri"/>
                <w:color w:val="000000"/>
                <w:sz w:val="44"/>
                <w:szCs w:val="44"/>
                <w:lang w:eastAsia="fr-BE"/>
              </w:rPr>
            </w:pPr>
            <w:r w:rsidRPr="00C01F53">
              <w:rPr>
                <w:rFonts w:ascii="Calibri" w:eastAsia="Times New Roman" w:hAnsi="Calibri" w:cs="Calibri"/>
                <w:color w:val="000000"/>
                <w:sz w:val="44"/>
                <w:szCs w:val="44"/>
                <w:lang w:eastAsia="fr-BE"/>
              </w:rPr>
              <w:lastRenderedPageBreak/>
              <w:t>2023 - Brussels By Night</w:t>
            </w:r>
          </w:p>
        </w:tc>
      </w:tr>
      <w:tr w:rsidR="009020BB" w:rsidRPr="00C01F53" w14:paraId="5AEB0083" w14:textId="77777777" w:rsidTr="000409CE">
        <w:trPr>
          <w:trHeight w:val="315"/>
        </w:trPr>
        <w:tc>
          <w:tcPr>
            <w:tcW w:w="8294" w:type="dxa"/>
            <w:gridSpan w:val="6"/>
            <w:vMerge/>
            <w:tcBorders>
              <w:top w:val="single" w:sz="8" w:space="0" w:color="auto"/>
              <w:left w:val="single" w:sz="8" w:space="0" w:color="auto"/>
              <w:bottom w:val="single" w:sz="8" w:space="0" w:color="000000"/>
              <w:right w:val="single" w:sz="8" w:space="0" w:color="000000"/>
            </w:tcBorders>
            <w:vAlign w:val="center"/>
            <w:hideMark/>
          </w:tcPr>
          <w:p w14:paraId="6C450619" w14:textId="77777777" w:rsidR="009020BB" w:rsidRPr="00C01F53" w:rsidRDefault="009020BB" w:rsidP="00C07BA6">
            <w:pPr>
              <w:spacing w:after="0" w:line="240" w:lineRule="auto"/>
              <w:rPr>
                <w:rFonts w:ascii="Calibri" w:eastAsia="Times New Roman" w:hAnsi="Calibri" w:cs="Calibri"/>
                <w:color w:val="000000"/>
                <w:sz w:val="44"/>
                <w:szCs w:val="44"/>
                <w:lang w:eastAsia="fr-BE"/>
              </w:rPr>
            </w:pPr>
          </w:p>
        </w:tc>
        <w:tc>
          <w:tcPr>
            <w:tcW w:w="146" w:type="dxa"/>
            <w:tcBorders>
              <w:top w:val="nil"/>
              <w:left w:val="nil"/>
              <w:bottom w:val="nil"/>
              <w:right w:val="nil"/>
            </w:tcBorders>
            <w:shd w:val="clear" w:color="auto" w:fill="auto"/>
            <w:noWrap/>
            <w:vAlign w:val="bottom"/>
            <w:hideMark/>
          </w:tcPr>
          <w:p w14:paraId="2F07D7B5" w14:textId="77777777" w:rsidR="009020BB" w:rsidRPr="00C01F53" w:rsidRDefault="009020BB" w:rsidP="00C07BA6">
            <w:pPr>
              <w:spacing w:after="0" w:line="240" w:lineRule="auto"/>
              <w:jc w:val="center"/>
              <w:rPr>
                <w:rFonts w:ascii="Calibri" w:eastAsia="Times New Roman" w:hAnsi="Calibri" w:cs="Calibri"/>
                <w:color w:val="000000"/>
                <w:sz w:val="44"/>
                <w:szCs w:val="44"/>
                <w:lang w:eastAsia="fr-BE"/>
              </w:rPr>
            </w:pPr>
          </w:p>
        </w:tc>
      </w:tr>
      <w:tr w:rsidR="009020BB" w:rsidRPr="00C01F53" w14:paraId="04DD4613" w14:textId="77777777" w:rsidTr="000409CE">
        <w:trPr>
          <w:trHeight w:val="300"/>
        </w:trPr>
        <w:tc>
          <w:tcPr>
            <w:tcW w:w="2630" w:type="dxa"/>
            <w:tcBorders>
              <w:top w:val="nil"/>
              <w:left w:val="single" w:sz="8" w:space="0" w:color="auto"/>
              <w:bottom w:val="single" w:sz="8" w:space="0" w:color="auto"/>
              <w:right w:val="nil"/>
            </w:tcBorders>
            <w:shd w:val="clear" w:color="auto" w:fill="auto"/>
            <w:noWrap/>
            <w:vAlign w:val="bottom"/>
            <w:hideMark/>
          </w:tcPr>
          <w:p w14:paraId="047F7F8E" w14:textId="77777777" w:rsidR="009020BB" w:rsidRPr="00C01F53" w:rsidRDefault="009020BB" w:rsidP="00C07BA6">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Pays d’origine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2A4D1586" w14:textId="77777777" w:rsidR="009020BB" w:rsidRPr="00C01F53" w:rsidRDefault="009020BB" w:rsidP="00C07BA6">
            <w:pPr>
              <w:spacing w:after="0" w:line="240" w:lineRule="auto"/>
              <w:rPr>
                <w:rFonts w:ascii="Calibri" w:eastAsia="Times New Roman" w:hAnsi="Calibri" w:cs="Calibri"/>
                <w:b/>
                <w:bCs/>
                <w:color w:val="000000"/>
                <w:lang w:eastAsia="fr-BE"/>
              </w:rPr>
            </w:pPr>
            <w:r w:rsidRPr="00410B88">
              <w:rPr>
                <w:rFonts w:ascii="Calibri" w:eastAsia="Times New Roman" w:hAnsi="Calibri" w:cs="Calibri"/>
                <w:b/>
                <w:bCs/>
                <w:color w:val="000000"/>
                <w:lang w:eastAsia="fr-BE"/>
              </w:rPr>
              <w:t>Quantit</w:t>
            </w:r>
            <w:r>
              <w:rPr>
                <w:rFonts w:ascii="Calibri" w:eastAsia="Times New Roman" w:hAnsi="Calibri" w:cs="Calibri"/>
                <w:b/>
                <w:bCs/>
                <w:color w:val="000000"/>
                <w:lang w:eastAsia="fr-BE"/>
              </w:rPr>
              <w:t>é</w:t>
            </w:r>
          </w:p>
        </w:tc>
        <w:tc>
          <w:tcPr>
            <w:tcW w:w="146" w:type="dxa"/>
            <w:tcBorders>
              <w:top w:val="nil"/>
              <w:left w:val="nil"/>
              <w:bottom w:val="nil"/>
              <w:right w:val="nil"/>
            </w:tcBorders>
            <w:shd w:val="clear" w:color="auto" w:fill="auto"/>
            <w:noWrap/>
            <w:vAlign w:val="bottom"/>
            <w:hideMark/>
          </w:tcPr>
          <w:p w14:paraId="6A3F6C3A" w14:textId="77777777" w:rsidR="009020BB" w:rsidRPr="00C01F53" w:rsidRDefault="009020BB" w:rsidP="00C07BA6">
            <w:pPr>
              <w:spacing w:after="0" w:line="240" w:lineRule="auto"/>
              <w:rPr>
                <w:rFonts w:ascii="Calibri" w:eastAsia="Times New Roman" w:hAnsi="Calibri" w:cs="Calibri"/>
                <w:b/>
                <w:bCs/>
                <w:color w:val="000000"/>
                <w:lang w:eastAsia="fr-BE"/>
              </w:rPr>
            </w:pPr>
          </w:p>
        </w:tc>
        <w:tc>
          <w:tcPr>
            <w:tcW w:w="146" w:type="dxa"/>
            <w:tcBorders>
              <w:top w:val="nil"/>
              <w:left w:val="nil"/>
              <w:bottom w:val="nil"/>
              <w:right w:val="nil"/>
            </w:tcBorders>
            <w:shd w:val="clear" w:color="auto" w:fill="auto"/>
            <w:noWrap/>
            <w:vAlign w:val="bottom"/>
            <w:hideMark/>
          </w:tcPr>
          <w:p w14:paraId="1E27CFE7"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8" w:space="0" w:color="auto"/>
              <w:right w:val="nil"/>
            </w:tcBorders>
            <w:shd w:val="clear" w:color="auto" w:fill="auto"/>
            <w:noWrap/>
            <w:vAlign w:val="bottom"/>
            <w:hideMark/>
          </w:tcPr>
          <w:p w14:paraId="785F9ACB" w14:textId="77777777" w:rsidR="009020BB" w:rsidRPr="00C01F53" w:rsidRDefault="009020BB" w:rsidP="00C07BA6">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Pays d’origine</w:t>
            </w:r>
          </w:p>
        </w:tc>
        <w:tc>
          <w:tcPr>
            <w:tcW w:w="1371" w:type="dxa"/>
            <w:tcBorders>
              <w:top w:val="nil"/>
              <w:left w:val="single" w:sz="8" w:space="0" w:color="auto"/>
              <w:bottom w:val="single" w:sz="8" w:space="0" w:color="auto"/>
              <w:right w:val="single" w:sz="8" w:space="0" w:color="auto"/>
            </w:tcBorders>
            <w:shd w:val="clear" w:color="auto" w:fill="auto"/>
            <w:noWrap/>
            <w:vAlign w:val="bottom"/>
            <w:hideMark/>
          </w:tcPr>
          <w:p w14:paraId="06C261B3" w14:textId="77777777" w:rsidR="009020BB" w:rsidRPr="00C01F53" w:rsidRDefault="009020BB" w:rsidP="00C07BA6">
            <w:pPr>
              <w:spacing w:after="0" w:line="240" w:lineRule="auto"/>
              <w:rPr>
                <w:rFonts w:ascii="Calibri" w:eastAsia="Times New Roman" w:hAnsi="Calibri" w:cs="Calibri"/>
                <w:b/>
                <w:bCs/>
                <w:color w:val="000000"/>
                <w:lang w:eastAsia="fr-BE"/>
              </w:rPr>
            </w:pPr>
            <w:r w:rsidRPr="00410B88">
              <w:rPr>
                <w:rFonts w:ascii="Calibri" w:eastAsia="Times New Roman" w:hAnsi="Calibri" w:cs="Calibri"/>
                <w:b/>
                <w:bCs/>
                <w:color w:val="000000"/>
                <w:lang w:eastAsia="fr-BE"/>
              </w:rPr>
              <w:t>Quantit</w:t>
            </w:r>
            <w:r>
              <w:rPr>
                <w:rFonts w:ascii="Calibri" w:eastAsia="Times New Roman" w:hAnsi="Calibri" w:cs="Calibri"/>
                <w:b/>
                <w:bCs/>
                <w:color w:val="000000"/>
                <w:lang w:eastAsia="fr-BE"/>
              </w:rPr>
              <w:t>é</w:t>
            </w:r>
          </w:p>
        </w:tc>
        <w:tc>
          <w:tcPr>
            <w:tcW w:w="146" w:type="dxa"/>
            <w:vAlign w:val="center"/>
            <w:hideMark/>
          </w:tcPr>
          <w:p w14:paraId="6A2ABE8E"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6ABA6B07" w14:textId="77777777" w:rsidTr="000409CE">
        <w:trPr>
          <w:trHeight w:val="315"/>
        </w:trPr>
        <w:tc>
          <w:tcPr>
            <w:tcW w:w="2630" w:type="dxa"/>
            <w:tcBorders>
              <w:top w:val="nil"/>
              <w:left w:val="single" w:sz="8" w:space="0" w:color="auto"/>
              <w:bottom w:val="single" w:sz="4" w:space="0" w:color="auto"/>
              <w:right w:val="nil"/>
            </w:tcBorders>
            <w:shd w:val="clear" w:color="auto" w:fill="auto"/>
            <w:noWrap/>
            <w:vAlign w:val="bottom"/>
            <w:hideMark/>
          </w:tcPr>
          <w:p w14:paraId="37D5FD60"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Allemagne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76627BD" w14:textId="77777777" w:rsidR="009020BB" w:rsidRPr="00C01F53"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150F4BAA"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6D66F9C"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6B8465A6"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Pays-Bas</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13C7110"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16</w:t>
            </w:r>
          </w:p>
        </w:tc>
        <w:tc>
          <w:tcPr>
            <w:tcW w:w="146" w:type="dxa"/>
            <w:vAlign w:val="center"/>
            <w:hideMark/>
          </w:tcPr>
          <w:p w14:paraId="16CA520D"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79A76C72" w14:textId="77777777" w:rsidTr="000409CE">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0CA8CF20"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Belgique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31EC176" w14:textId="77777777" w:rsidR="009020BB" w:rsidRPr="00C01F53" w:rsidRDefault="009020BB" w:rsidP="00C07BA6">
            <w:pPr>
              <w:spacing w:after="0" w:line="240"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10</w:t>
            </w:r>
          </w:p>
        </w:tc>
        <w:tc>
          <w:tcPr>
            <w:tcW w:w="146" w:type="dxa"/>
            <w:tcBorders>
              <w:top w:val="nil"/>
              <w:left w:val="nil"/>
              <w:bottom w:val="nil"/>
              <w:right w:val="nil"/>
            </w:tcBorders>
            <w:shd w:val="clear" w:color="auto" w:fill="auto"/>
            <w:noWrap/>
            <w:vAlign w:val="bottom"/>
            <w:hideMark/>
          </w:tcPr>
          <w:p w14:paraId="0DF0A69C"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643460DF"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48753FAD"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Belgique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5518A291"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10</w:t>
            </w:r>
          </w:p>
        </w:tc>
        <w:tc>
          <w:tcPr>
            <w:tcW w:w="146" w:type="dxa"/>
            <w:vAlign w:val="center"/>
            <w:hideMark/>
          </w:tcPr>
          <w:p w14:paraId="2D2182E6"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2C59AC99" w14:textId="77777777" w:rsidTr="000409CE">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26F848C7" w14:textId="77777777" w:rsidR="009020BB" w:rsidRPr="00C01F53" w:rsidRDefault="009020BB" w:rsidP="00C07BA6">
            <w:pPr>
              <w:spacing w:after="0" w:line="240" w:lineRule="auto"/>
              <w:rPr>
                <w:rFonts w:ascii="Calibri" w:eastAsia="Times New Roman" w:hAnsi="Calibri" w:cs="Calibri"/>
                <w:color w:val="000000"/>
                <w:lang w:eastAsia="fr-BE"/>
              </w:rPr>
            </w:pPr>
            <w:proofErr w:type="spellStart"/>
            <w:r>
              <w:rPr>
                <w:rFonts w:ascii="Calibri" w:eastAsia="Times New Roman" w:hAnsi="Calibri" w:cs="Calibri"/>
                <w:color w:val="000000"/>
                <w:lang w:eastAsia="fr-BE"/>
              </w:rPr>
              <w:t>Lithuanie</w:t>
            </w:r>
            <w:proofErr w:type="spellEnd"/>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E0CBB68"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697E58B3"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2F1DB5A7"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1CE8D5A"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Allemagne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0C118CB1"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vAlign w:val="center"/>
            <w:hideMark/>
          </w:tcPr>
          <w:p w14:paraId="184F115C"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51CEFECB" w14:textId="77777777" w:rsidTr="000409CE">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073F2993"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Pays-Bas</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D2AA487"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16</w:t>
            </w:r>
          </w:p>
        </w:tc>
        <w:tc>
          <w:tcPr>
            <w:tcW w:w="146" w:type="dxa"/>
            <w:tcBorders>
              <w:top w:val="nil"/>
              <w:left w:val="nil"/>
              <w:bottom w:val="nil"/>
              <w:right w:val="nil"/>
            </w:tcBorders>
            <w:shd w:val="clear" w:color="auto" w:fill="auto"/>
            <w:noWrap/>
            <w:vAlign w:val="bottom"/>
            <w:hideMark/>
          </w:tcPr>
          <w:p w14:paraId="07F68465"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1741D6C2"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53D88F91" w14:textId="77777777" w:rsidR="009020BB" w:rsidRPr="00C01F53" w:rsidRDefault="009020BB" w:rsidP="00C07BA6">
            <w:pPr>
              <w:spacing w:after="0" w:line="240" w:lineRule="auto"/>
              <w:rPr>
                <w:rFonts w:ascii="Calibri" w:eastAsia="Times New Roman" w:hAnsi="Calibri" w:cs="Calibri"/>
                <w:color w:val="000000"/>
                <w:lang w:eastAsia="fr-BE"/>
              </w:rPr>
            </w:pPr>
            <w:proofErr w:type="spellStart"/>
            <w:r w:rsidRPr="00C01F53">
              <w:rPr>
                <w:rFonts w:ascii="Calibri" w:eastAsia="Times New Roman" w:hAnsi="Calibri" w:cs="Calibri"/>
                <w:color w:val="000000"/>
                <w:lang w:eastAsia="fr-BE"/>
              </w:rPr>
              <w:t>Lithuani</w:t>
            </w:r>
            <w:r>
              <w:rPr>
                <w:rFonts w:ascii="Calibri" w:eastAsia="Times New Roman" w:hAnsi="Calibri" w:cs="Calibri"/>
                <w:color w:val="000000"/>
                <w:lang w:eastAsia="fr-BE"/>
              </w:rPr>
              <w:t>e</w:t>
            </w:r>
            <w:proofErr w:type="spellEnd"/>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36088545"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vAlign w:val="center"/>
            <w:hideMark/>
          </w:tcPr>
          <w:p w14:paraId="7FED6880"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2AD14216" w14:textId="77777777" w:rsidTr="000409CE">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0D119B2C" w14:textId="77777777" w:rsidR="009020BB" w:rsidRPr="00C01F53" w:rsidRDefault="009020BB" w:rsidP="00C07BA6">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Po</w:t>
            </w:r>
            <w:r>
              <w:rPr>
                <w:rFonts w:ascii="Calibri" w:eastAsia="Times New Roman" w:hAnsi="Calibri" w:cs="Calibri"/>
                <w:color w:val="000000"/>
                <w:lang w:eastAsia="fr-BE"/>
              </w:rPr>
              <w:t>logne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777AB043"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38C8ECE8"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F354FC9"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0B427AC9" w14:textId="77777777" w:rsidR="009020BB" w:rsidRPr="00C01F53" w:rsidRDefault="009020BB" w:rsidP="00C07BA6">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S</w:t>
            </w:r>
            <w:r>
              <w:rPr>
                <w:rFonts w:ascii="Calibri" w:eastAsia="Times New Roman" w:hAnsi="Calibri" w:cs="Calibri"/>
                <w:color w:val="000000"/>
                <w:lang w:eastAsia="fr-BE"/>
              </w:rPr>
              <w:t>uède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106D1D4E"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vAlign w:val="center"/>
            <w:hideMark/>
          </w:tcPr>
          <w:p w14:paraId="4509FA39"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74326F55" w14:textId="77777777" w:rsidTr="000409CE">
        <w:trPr>
          <w:trHeight w:val="300"/>
        </w:trPr>
        <w:tc>
          <w:tcPr>
            <w:tcW w:w="2630" w:type="dxa"/>
            <w:tcBorders>
              <w:top w:val="nil"/>
              <w:left w:val="single" w:sz="8" w:space="0" w:color="auto"/>
              <w:bottom w:val="single" w:sz="4" w:space="0" w:color="auto"/>
              <w:right w:val="nil"/>
            </w:tcBorders>
            <w:shd w:val="clear" w:color="auto" w:fill="auto"/>
            <w:noWrap/>
            <w:vAlign w:val="bottom"/>
            <w:hideMark/>
          </w:tcPr>
          <w:p w14:paraId="38E1169E"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Espagne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2E2D6FF6"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146" w:type="dxa"/>
            <w:tcBorders>
              <w:top w:val="nil"/>
              <w:left w:val="nil"/>
              <w:bottom w:val="nil"/>
              <w:right w:val="nil"/>
            </w:tcBorders>
            <w:shd w:val="clear" w:color="auto" w:fill="auto"/>
            <w:noWrap/>
            <w:vAlign w:val="bottom"/>
            <w:hideMark/>
          </w:tcPr>
          <w:p w14:paraId="202CEB90"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7655B9D1"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51C68435" w14:textId="77777777" w:rsidR="009020BB" w:rsidRPr="00C01F53" w:rsidRDefault="009020BB" w:rsidP="00C07BA6">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Pol</w:t>
            </w:r>
            <w:r>
              <w:rPr>
                <w:rFonts w:ascii="Calibri" w:eastAsia="Times New Roman" w:hAnsi="Calibri" w:cs="Calibri"/>
                <w:color w:val="000000"/>
                <w:lang w:eastAsia="fr-BE"/>
              </w:rPr>
              <w:t>ogne</w:t>
            </w:r>
          </w:p>
        </w:tc>
        <w:tc>
          <w:tcPr>
            <w:tcW w:w="1371" w:type="dxa"/>
            <w:tcBorders>
              <w:top w:val="nil"/>
              <w:left w:val="single" w:sz="8" w:space="0" w:color="auto"/>
              <w:bottom w:val="single" w:sz="4" w:space="0" w:color="auto"/>
              <w:right w:val="single" w:sz="8" w:space="0" w:color="auto"/>
            </w:tcBorders>
            <w:shd w:val="clear" w:color="auto" w:fill="auto"/>
            <w:noWrap/>
            <w:vAlign w:val="bottom"/>
            <w:hideMark/>
          </w:tcPr>
          <w:p w14:paraId="47CAB3B4"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146" w:type="dxa"/>
            <w:vAlign w:val="center"/>
            <w:hideMark/>
          </w:tcPr>
          <w:p w14:paraId="465CE10C"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19F29AC0" w14:textId="77777777" w:rsidTr="000409CE">
        <w:trPr>
          <w:trHeight w:val="315"/>
        </w:trPr>
        <w:tc>
          <w:tcPr>
            <w:tcW w:w="2630" w:type="dxa"/>
            <w:tcBorders>
              <w:top w:val="nil"/>
              <w:left w:val="single" w:sz="8" w:space="0" w:color="auto"/>
              <w:bottom w:val="single" w:sz="4" w:space="0" w:color="auto"/>
              <w:right w:val="nil"/>
            </w:tcBorders>
            <w:shd w:val="clear" w:color="auto" w:fill="auto"/>
            <w:noWrap/>
            <w:vAlign w:val="bottom"/>
            <w:hideMark/>
          </w:tcPr>
          <w:p w14:paraId="4DE6183F" w14:textId="77777777" w:rsidR="009020BB" w:rsidRPr="00C01F53" w:rsidRDefault="009020BB" w:rsidP="00C07BA6">
            <w:pPr>
              <w:spacing w:after="0" w:line="240" w:lineRule="auto"/>
              <w:rPr>
                <w:rFonts w:ascii="Calibri" w:eastAsia="Times New Roman" w:hAnsi="Calibri" w:cs="Calibri"/>
                <w:color w:val="000000"/>
                <w:lang w:eastAsia="fr-BE"/>
              </w:rPr>
            </w:pPr>
            <w:r w:rsidRPr="00C01F53">
              <w:rPr>
                <w:rFonts w:ascii="Calibri" w:eastAsia="Times New Roman" w:hAnsi="Calibri" w:cs="Calibri"/>
                <w:color w:val="000000"/>
                <w:lang w:eastAsia="fr-BE"/>
              </w:rPr>
              <w:t>S</w:t>
            </w:r>
            <w:r>
              <w:rPr>
                <w:rFonts w:ascii="Calibri" w:eastAsia="Times New Roman" w:hAnsi="Calibri" w:cs="Calibri"/>
                <w:color w:val="000000"/>
                <w:lang w:eastAsia="fr-BE"/>
              </w:rPr>
              <w:t>uède</w:t>
            </w:r>
          </w:p>
        </w:tc>
        <w:tc>
          <w:tcPr>
            <w:tcW w:w="1371" w:type="dxa"/>
            <w:tcBorders>
              <w:top w:val="nil"/>
              <w:left w:val="single" w:sz="8" w:space="0" w:color="auto"/>
              <w:bottom w:val="nil"/>
              <w:right w:val="single" w:sz="8" w:space="0" w:color="auto"/>
            </w:tcBorders>
            <w:shd w:val="clear" w:color="auto" w:fill="auto"/>
            <w:noWrap/>
            <w:vAlign w:val="bottom"/>
            <w:hideMark/>
          </w:tcPr>
          <w:p w14:paraId="0F3D1935"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2</w:t>
            </w:r>
          </w:p>
        </w:tc>
        <w:tc>
          <w:tcPr>
            <w:tcW w:w="146" w:type="dxa"/>
            <w:tcBorders>
              <w:top w:val="nil"/>
              <w:left w:val="nil"/>
              <w:bottom w:val="nil"/>
              <w:right w:val="nil"/>
            </w:tcBorders>
            <w:shd w:val="clear" w:color="auto" w:fill="auto"/>
            <w:noWrap/>
            <w:vAlign w:val="bottom"/>
            <w:hideMark/>
          </w:tcPr>
          <w:p w14:paraId="35FCC472"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3D091A1D"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single" w:sz="8" w:space="0" w:color="auto"/>
              <w:bottom w:val="single" w:sz="4" w:space="0" w:color="auto"/>
              <w:right w:val="nil"/>
            </w:tcBorders>
            <w:shd w:val="clear" w:color="auto" w:fill="auto"/>
            <w:noWrap/>
            <w:vAlign w:val="bottom"/>
            <w:hideMark/>
          </w:tcPr>
          <w:p w14:paraId="213B9611" w14:textId="77777777" w:rsidR="009020BB" w:rsidRPr="00C01F53" w:rsidRDefault="009020BB" w:rsidP="00C07BA6">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Espagne</w:t>
            </w:r>
          </w:p>
        </w:tc>
        <w:tc>
          <w:tcPr>
            <w:tcW w:w="1371" w:type="dxa"/>
            <w:tcBorders>
              <w:top w:val="nil"/>
              <w:left w:val="single" w:sz="8" w:space="0" w:color="auto"/>
              <w:bottom w:val="nil"/>
              <w:right w:val="single" w:sz="8" w:space="0" w:color="auto"/>
            </w:tcBorders>
            <w:shd w:val="clear" w:color="auto" w:fill="auto"/>
            <w:noWrap/>
            <w:vAlign w:val="bottom"/>
            <w:hideMark/>
          </w:tcPr>
          <w:p w14:paraId="05F8C140"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1</w:t>
            </w:r>
          </w:p>
        </w:tc>
        <w:tc>
          <w:tcPr>
            <w:tcW w:w="146" w:type="dxa"/>
            <w:vAlign w:val="center"/>
            <w:hideMark/>
          </w:tcPr>
          <w:p w14:paraId="331A7B22"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r w:rsidR="009020BB" w:rsidRPr="00C01F53" w14:paraId="35FB77E1" w14:textId="77777777" w:rsidTr="000409CE">
        <w:trPr>
          <w:trHeight w:val="315"/>
        </w:trPr>
        <w:tc>
          <w:tcPr>
            <w:tcW w:w="2630" w:type="dxa"/>
            <w:tcBorders>
              <w:top w:val="nil"/>
              <w:left w:val="nil"/>
              <w:bottom w:val="nil"/>
              <w:right w:val="nil"/>
            </w:tcBorders>
            <w:shd w:val="clear" w:color="auto" w:fill="auto"/>
            <w:noWrap/>
            <w:vAlign w:val="bottom"/>
            <w:hideMark/>
          </w:tcPr>
          <w:p w14:paraId="0B277199"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DB6C1"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34</w:t>
            </w:r>
          </w:p>
        </w:tc>
        <w:tc>
          <w:tcPr>
            <w:tcW w:w="146" w:type="dxa"/>
            <w:tcBorders>
              <w:top w:val="nil"/>
              <w:left w:val="nil"/>
              <w:bottom w:val="nil"/>
              <w:right w:val="nil"/>
            </w:tcBorders>
            <w:shd w:val="clear" w:color="auto" w:fill="auto"/>
            <w:noWrap/>
            <w:vAlign w:val="bottom"/>
            <w:hideMark/>
          </w:tcPr>
          <w:p w14:paraId="7198B81E" w14:textId="77777777" w:rsidR="009020BB" w:rsidRPr="00C01F53" w:rsidRDefault="009020BB" w:rsidP="00C07BA6">
            <w:pPr>
              <w:spacing w:after="0" w:line="240" w:lineRule="auto"/>
              <w:jc w:val="center"/>
              <w:rPr>
                <w:rFonts w:ascii="Calibri" w:eastAsia="Times New Roman" w:hAnsi="Calibri" w:cs="Calibri"/>
                <w:color w:val="000000"/>
                <w:lang w:eastAsia="fr-BE"/>
              </w:rPr>
            </w:pPr>
          </w:p>
        </w:tc>
        <w:tc>
          <w:tcPr>
            <w:tcW w:w="146" w:type="dxa"/>
            <w:tcBorders>
              <w:top w:val="nil"/>
              <w:left w:val="nil"/>
              <w:bottom w:val="nil"/>
              <w:right w:val="nil"/>
            </w:tcBorders>
            <w:shd w:val="clear" w:color="auto" w:fill="auto"/>
            <w:noWrap/>
            <w:vAlign w:val="bottom"/>
            <w:hideMark/>
          </w:tcPr>
          <w:p w14:paraId="0ADC44F9"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2630" w:type="dxa"/>
            <w:tcBorders>
              <w:top w:val="nil"/>
              <w:left w:val="nil"/>
              <w:bottom w:val="nil"/>
              <w:right w:val="nil"/>
            </w:tcBorders>
            <w:shd w:val="clear" w:color="auto" w:fill="auto"/>
            <w:noWrap/>
            <w:vAlign w:val="bottom"/>
            <w:hideMark/>
          </w:tcPr>
          <w:p w14:paraId="3F4EC86B"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c>
          <w:tcPr>
            <w:tcW w:w="1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B810B" w14:textId="77777777" w:rsidR="009020BB" w:rsidRPr="00C01F53" w:rsidRDefault="009020BB" w:rsidP="00C07BA6">
            <w:pPr>
              <w:spacing w:after="0" w:line="240" w:lineRule="auto"/>
              <w:jc w:val="center"/>
              <w:rPr>
                <w:rFonts w:ascii="Calibri" w:eastAsia="Times New Roman" w:hAnsi="Calibri" w:cs="Calibri"/>
                <w:color w:val="000000"/>
                <w:lang w:eastAsia="fr-BE"/>
              </w:rPr>
            </w:pPr>
            <w:r w:rsidRPr="00C01F53">
              <w:rPr>
                <w:rFonts w:ascii="Calibri" w:eastAsia="Times New Roman" w:hAnsi="Calibri" w:cs="Calibri"/>
                <w:color w:val="000000"/>
                <w:lang w:eastAsia="fr-BE"/>
              </w:rPr>
              <w:t>34</w:t>
            </w:r>
          </w:p>
        </w:tc>
        <w:tc>
          <w:tcPr>
            <w:tcW w:w="146" w:type="dxa"/>
            <w:vAlign w:val="center"/>
            <w:hideMark/>
          </w:tcPr>
          <w:p w14:paraId="53426A79" w14:textId="77777777" w:rsidR="009020BB" w:rsidRPr="00C01F53" w:rsidRDefault="009020BB" w:rsidP="00C07BA6">
            <w:pPr>
              <w:spacing w:after="0" w:line="240" w:lineRule="auto"/>
              <w:rPr>
                <w:rFonts w:ascii="Times New Roman" w:eastAsia="Times New Roman" w:hAnsi="Times New Roman" w:cs="Times New Roman"/>
                <w:sz w:val="20"/>
                <w:szCs w:val="20"/>
                <w:lang w:eastAsia="fr-BE"/>
              </w:rPr>
            </w:pPr>
          </w:p>
        </w:tc>
      </w:tr>
    </w:tbl>
    <w:p w14:paraId="09275C9D" w14:textId="77777777" w:rsidR="00EB0E25" w:rsidRDefault="00EB0E25"/>
    <w:p w14:paraId="4618B5DF" w14:textId="77777777" w:rsidR="00EB0E25" w:rsidRDefault="00241774">
      <w:r>
        <w:t xml:space="preserve">Il va par ailleurs de soi </w:t>
      </w:r>
      <w:r w:rsidR="00EB0E25">
        <w:t xml:space="preserve">qu’à travers le reste du Salon, d’autres </w:t>
      </w:r>
      <w:r w:rsidR="007A5D3A">
        <w:t>exposants</w:t>
      </w:r>
      <w:r w:rsidR="00EB0E25">
        <w:t xml:space="preserve"> sont également actifs dans la branche du sommeil. Le stand « The Woods », au palais 6, </w:t>
      </w:r>
      <w:r>
        <w:t>offre un av</w:t>
      </w:r>
      <w:r w:rsidR="00EB0E25">
        <w:t xml:space="preserve">ant-goût de leurs produits, </w:t>
      </w:r>
      <w:r>
        <w:t xml:space="preserve">chaque fois accompagnés </w:t>
      </w:r>
      <w:r w:rsidR="00EB0E25">
        <w:t>de l</w:t>
      </w:r>
      <w:r>
        <w:t>a</w:t>
      </w:r>
      <w:r w:rsidR="00EB0E25">
        <w:t xml:space="preserve"> référence de stand</w:t>
      </w:r>
      <w:r>
        <w:t xml:space="preserve"> du fabricant</w:t>
      </w:r>
      <w:r w:rsidR="00EB0E25">
        <w:t>.</w:t>
      </w:r>
    </w:p>
    <w:p w14:paraId="3D0606C0" w14:textId="77777777" w:rsidR="00EB0E25" w:rsidRPr="000409CE" w:rsidRDefault="00EB0E25">
      <w:pPr>
        <w:rPr>
          <w:sz w:val="12"/>
          <w:szCs w:val="12"/>
        </w:rPr>
      </w:pPr>
    </w:p>
    <w:p w14:paraId="2B3DCC51" w14:textId="77777777" w:rsidR="00EB0E25" w:rsidRPr="00000225" w:rsidRDefault="00EB0E25">
      <w:pPr>
        <w:rPr>
          <w:b/>
        </w:rPr>
      </w:pPr>
      <w:proofErr w:type="spellStart"/>
      <w:r w:rsidRPr="00000225">
        <w:rPr>
          <w:b/>
        </w:rPr>
        <w:t>Contract</w:t>
      </w:r>
      <w:proofErr w:type="spellEnd"/>
    </w:p>
    <w:p w14:paraId="7CD40DB9" w14:textId="77777777" w:rsidR="00EB0E25" w:rsidRDefault="00EB0E25">
      <w:r>
        <w:t>Une autre évolution importante et entre-temps bien connue</w:t>
      </w:r>
      <w:r w:rsidR="007A5D3A">
        <w:t xml:space="preserve"> du secteur du meuble</w:t>
      </w:r>
      <w:r>
        <w:t xml:space="preserve"> est celle de l’intérêt croissant des fabricants pour le marché des projets. Cette tendance s’observe aussi au Salon, avec toujours plus d’exposants s’adressant aux spécialistes des projets et désireux</w:t>
      </w:r>
      <w:r w:rsidR="007A5D3A">
        <w:t>, donc,</w:t>
      </w:r>
      <w:r>
        <w:t xml:space="preserve"> de voir leur stand marqué du </w:t>
      </w:r>
      <w:r w:rsidR="007A5D3A">
        <w:t>« </w:t>
      </w:r>
      <w:r>
        <w:t>C</w:t>
      </w:r>
      <w:r w:rsidR="007A5D3A">
        <w:t> »</w:t>
      </w:r>
      <w:r>
        <w:t xml:space="preserve"> de </w:t>
      </w:r>
      <w:proofErr w:type="spellStart"/>
      <w:r>
        <w:t>Contract</w:t>
      </w:r>
      <w:proofErr w:type="spellEnd"/>
      <w:r>
        <w:t xml:space="preserve"> sur le plan. Cette année, ils sont au nombre de 65, soit une hausse de 30 % par rapport à 2022. Une tendance similaire peut être observée au niveau du profil des visiteurs. Le Salon du Meuble accueille ainsi chaque année un nombre croissant d’architectes d’intérieur, bien que leur affluence ne soit actuellement pas encore proportionnelle</w:t>
      </w:r>
      <w:r w:rsidR="00000225">
        <w:t xml:space="preserve"> à l’essor des exposants </w:t>
      </w:r>
      <w:proofErr w:type="spellStart"/>
      <w:r w:rsidR="00000225">
        <w:t>Contract</w:t>
      </w:r>
      <w:proofErr w:type="spellEnd"/>
      <w:r w:rsidR="00000225">
        <w:t>. Ce constat est à nouveau un signal pour nous, en tant qu’organisateurs, de poursuivre les efforts dans ce domaine !</w:t>
      </w:r>
    </w:p>
    <w:p w14:paraId="6E1F6B4A" w14:textId="77777777" w:rsidR="00000225" w:rsidRPr="000409CE" w:rsidRDefault="00000225">
      <w:pPr>
        <w:rPr>
          <w:sz w:val="14"/>
          <w:szCs w:val="14"/>
        </w:rPr>
      </w:pPr>
    </w:p>
    <w:p w14:paraId="4663E41A" w14:textId="77777777" w:rsidR="00000225" w:rsidRPr="00000225" w:rsidRDefault="00000225">
      <w:pPr>
        <w:rPr>
          <w:b/>
        </w:rPr>
      </w:pPr>
      <w:r w:rsidRPr="00000225">
        <w:rPr>
          <w:b/>
        </w:rPr>
        <w:t>Vision pour l’avenir</w:t>
      </w:r>
    </w:p>
    <w:p w14:paraId="01329AC8" w14:textId="77777777" w:rsidR="00000225" w:rsidRDefault="00000225">
      <w:r>
        <w:t xml:space="preserve">Nous conclurons en nous tournant à nouveau vers l’avenir et en </w:t>
      </w:r>
      <w:r w:rsidR="007A5D3A">
        <w:t>abordant</w:t>
      </w:r>
      <w:r>
        <w:t xml:space="preserve"> ce que vous pouvez attendre du Salon du Meuble 2024.</w:t>
      </w:r>
    </w:p>
    <w:p w14:paraId="0D689C43" w14:textId="77777777" w:rsidR="00000225" w:rsidRDefault="00000225">
      <w:r>
        <w:t>La prochaine édition se tiendra du 3 au 6 novembre 2024. La base reste inchangée : le Salon du Meuble continue de se positionner comme un évènement synonyme de fiabilité, d’efficacité et d’affaires fructueuses, le tout dans un cadre soigné et convivial. Par ailleurs, nous voulons continuer à tirer profit des opportunités citées ci-avant. L’objectif à cet égard n’est pas de croître à tout prix, mais surtout d’être un évènement pour tous les acteurs de notre branche, de sorte que le Salon du Meuble soit unanimement vécu comme la grande fête des professionnels du meuble.</w:t>
      </w:r>
    </w:p>
    <w:p w14:paraId="6186583F" w14:textId="77777777" w:rsidR="000409CE" w:rsidRDefault="000409CE"/>
    <w:p w14:paraId="07AECCD9" w14:textId="6A3A817C" w:rsidR="000409CE" w:rsidRPr="00303577" w:rsidRDefault="000409CE">
      <w:r>
        <w:t>Merci !</w:t>
      </w:r>
    </w:p>
    <w:sectPr w:rsidR="000409CE" w:rsidRPr="0030357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84D7" w14:textId="77777777" w:rsidR="00803742" w:rsidRDefault="00803742" w:rsidP="007A5D3A">
      <w:pPr>
        <w:spacing w:after="0" w:line="240" w:lineRule="auto"/>
      </w:pPr>
      <w:r>
        <w:separator/>
      </w:r>
    </w:p>
  </w:endnote>
  <w:endnote w:type="continuationSeparator" w:id="0">
    <w:p w14:paraId="55A68654" w14:textId="77777777" w:rsidR="00803742" w:rsidRDefault="00803742" w:rsidP="007A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0B3" w14:textId="3098F8E5" w:rsidR="00B40C4F" w:rsidRDefault="00B40C4F" w:rsidP="00B40C4F">
    <w:pPr>
      <w:pStyle w:val="Footer"/>
      <w:jc w:val="center"/>
    </w:pPr>
  </w:p>
  <w:p w14:paraId="45DFABB9" w14:textId="051B0BCE" w:rsidR="00B40C4F" w:rsidRDefault="00B40C4F" w:rsidP="00B40C4F">
    <w:pPr>
      <w:pStyle w:val="Footer"/>
      <w:jc w:val="center"/>
    </w:pPr>
    <w:r>
      <w:rPr>
        <w:noProof/>
      </w:rPr>
      <w:drawing>
        <wp:inline distT="0" distB="0" distL="0" distR="0" wp14:anchorId="79A09654" wp14:editId="53BE5037">
          <wp:extent cx="514350" cy="266643"/>
          <wp:effectExtent l="0" t="0" r="0" b="635"/>
          <wp:docPr id="1225561464" name="Picture 2"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61464" name="Picture 2" descr="A black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350" cy="2666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1260" w14:textId="77777777" w:rsidR="00803742" w:rsidRDefault="00803742" w:rsidP="007A5D3A">
      <w:pPr>
        <w:spacing w:after="0" w:line="240" w:lineRule="auto"/>
      </w:pPr>
      <w:r>
        <w:separator/>
      </w:r>
    </w:p>
  </w:footnote>
  <w:footnote w:type="continuationSeparator" w:id="0">
    <w:p w14:paraId="27FAB3CD" w14:textId="77777777" w:rsidR="00803742" w:rsidRDefault="00803742" w:rsidP="007A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6B201B1"/>
    <w:multiLevelType w:val="hybridMultilevel"/>
    <w:tmpl w:val="EDFA1368"/>
    <w:lvl w:ilvl="0" w:tplc="8218753A">
      <w:start w:val="1000"/>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12BE42B2"/>
    <w:multiLevelType w:val="hybridMultilevel"/>
    <w:tmpl w:val="C0A04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97721F"/>
    <w:multiLevelType w:val="hybridMultilevel"/>
    <w:tmpl w:val="D8D2A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F32229"/>
    <w:multiLevelType w:val="hybridMultilevel"/>
    <w:tmpl w:val="A282CF84"/>
    <w:lvl w:ilvl="0" w:tplc="B7165F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DD92BF8"/>
    <w:multiLevelType w:val="hybridMultilevel"/>
    <w:tmpl w:val="B058B518"/>
    <w:lvl w:ilvl="0" w:tplc="2C08AE56">
      <w:start w:val="3191"/>
      <w:numFmt w:val="decimal"/>
      <w:lvlText w:val="%1"/>
      <w:lvlJc w:val="left"/>
      <w:pPr>
        <w:tabs>
          <w:tab w:val="num" w:pos="5655"/>
        </w:tabs>
        <w:ind w:left="5655" w:hanging="555"/>
      </w:pPr>
      <w:rPr>
        <w:rFonts w:hint="default"/>
      </w:rPr>
    </w:lvl>
    <w:lvl w:ilvl="1" w:tplc="04130019" w:tentative="1">
      <w:start w:val="1"/>
      <w:numFmt w:val="lowerLetter"/>
      <w:lvlText w:val="%2."/>
      <w:lvlJc w:val="left"/>
      <w:pPr>
        <w:tabs>
          <w:tab w:val="num" w:pos="6180"/>
        </w:tabs>
        <w:ind w:left="6180" w:hanging="360"/>
      </w:pPr>
    </w:lvl>
    <w:lvl w:ilvl="2" w:tplc="0413001B" w:tentative="1">
      <w:start w:val="1"/>
      <w:numFmt w:val="lowerRoman"/>
      <w:lvlText w:val="%3."/>
      <w:lvlJc w:val="right"/>
      <w:pPr>
        <w:tabs>
          <w:tab w:val="num" w:pos="6900"/>
        </w:tabs>
        <w:ind w:left="6900" w:hanging="180"/>
      </w:pPr>
    </w:lvl>
    <w:lvl w:ilvl="3" w:tplc="0413000F" w:tentative="1">
      <w:start w:val="1"/>
      <w:numFmt w:val="decimal"/>
      <w:lvlText w:val="%4."/>
      <w:lvlJc w:val="left"/>
      <w:pPr>
        <w:tabs>
          <w:tab w:val="num" w:pos="7620"/>
        </w:tabs>
        <w:ind w:left="7620" w:hanging="360"/>
      </w:pPr>
    </w:lvl>
    <w:lvl w:ilvl="4" w:tplc="04130019" w:tentative="1">
      <w:start w:val="1"/>
      <w:numFmt w:val="lowerLetter"/>
      <w:lvlText w:val="%5."/>
      <w:lvlJc w:val="left"/>
      <w:pPr>
        <w:tabs>
          <w:tab w:val="num" w:pos="8340"/>
        </w:tabs>
        <w:ind w:left="8340" w:hanging="360"/>
      </w:pPr>
    </w:lvl>
    <w:lvl w:ilvl="5" w:tplc="0413001B" w:tentative="1">
      <w:start w:val="1"/>
      <w:numFmt w:val="lowerRoman"/>
      <w:lvlText w:val="%6."/>
      <w:lvlJc w:val="right"/>
      <w:pPr>
        <w:tabs>
          <w:tab w:val="num" w:pos="9060"/>
        </w:tabs>
        <w:ind w:left="9060" w:hanging="180"/>
      </w:pPr>
    </w:lvl>
    <w:lvl w:ilvl="6" w:tplc="0413000F" w:tentative="1">
      <w:start w:val="1"/>
      <w:numFmt w:val="decimal"/>
      <w:lvlText w:val="%7."/>
      <w:lvlJc w:val="left"/>
      <w:pPr>
        <w:tabs>
          <w:tab w:val="num" w:pos="9780"/>
        </w:tabs>
        <w:ind w:left="9780" w:hanging="360"/>
      </w:pPr>
    </w:lvl>
    <w:lvl w:ilvl="7" w:tplc="04130019" w:tentative="1">
      <w:start w:val="1"/>
      <w:numFmt w:val="lowerLetter"/>
      <w:lvlText w:val="%8."/>
      <w:lvlJc w:val="left"/>
      <w:pPr>
        <w:tabs>
          <w:tab w:val="num" w:pos="10500"/>
        </w:tabs>
        <w:ind w:left="10500" w:hanging="360"/>
      </w:pPr>
    </w:lvl>
    <w:lvl w:ilvl="8" w:tplc="0413001B" w:tentative="1">
      <w:start w:val="1"/>
      <w:numFmt w:val="lowerRoman"/>
      <w:lvlText w:val="%9."/>
      <w:lvlJc w:val="right"/>
      <w:pPr>
        <w:tabs>
          <w:tab w:val="num" w:pos="11220"/>
        </w:tabs>
        <w:ind w:left="11220" w:hanging="180"/>
      </w:pPr>
    </w:lvl>
  </w:abstractNum>
  <w:abstractNum w:abstractNumId="6" w15:restartNumberingAfterBreak="0">
    <w:nsid w:val="34F965C0"/>
    <w:multiLevelType w:val="hybridMultilevel"/>
    <w:tmpl w:val="84FACF5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AA91568"/>
    <w:multiLevelType w:val="hybridMultilevel"/>
    <w:tmpl w:val="B128E5BE"/>
    <w:lvl w:ilvl="0" w:tplc="71101568">
      <w:start w:val="10"/>
      <w:numFmt w:val="bullet"/>
      <w:lvlText w:val="-"/>
      <w:lvlJc w:val="left"/>
      <w:pPr>
        <w:ind w:left="720" w:hanging="360"/>
      </w:pPr>
      <w:rPr>
        <w:rFonts w:ascii="Myriad Web Pro" w:eastAsia="Times New Roman" w:hAnsi="Myriad Web Pr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271267B"/>
    <w:multiLevelType w:val="hybridMultilevel"/>
    <w:tmpl w:val="97E6CA8A"/>
    <w:lvl w:ilvl="0" w:tplc="A4A86E8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D23F08"/>
    <w:multiLevelType w:val="hybridMultilevel"/>
    <w:tmpl w:val="9FD64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B72E8E"/>
    <w:multiLevelType w:val="hybridMultilevel"/>
    <w:tmpl w:val="90D23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A72407"/>
    <w:multiLevelType w:val="hybridMultilevel"/>
    <w:tmpl w:val="FE6AAD18"/>
    <w:lvl w:ilvl="0" w:tplc="43B83A24">
      <w:numFmt w:val="bullet"/>
      <w:lvlText w:val="-"/>
      <w:lvlJc w:val="left"/>
      <w:pPr>
        <w:ind w:left="720" w:hanging="360"/>
      </w:pPr>
      <w:rPr>
        <w:rFonts w:ascii="Myriad Pro" w:eastAsia="Times New Roman" w:hAnsi="Myriad Pro" w:cs="Lucida Sans Unicode"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1E504FA"/>
    <w:multiLevelType w:val="hybridMultilevel"/>
    <w:tmpl w:val="1B6072EA"/>
    <w:lvl w:ilvl="0" w:tplc="64881258">
      <w:start w:val="1"/>
      <w:numFmt w:val="bullet"/>
      <w:lvlText w:val=""/>
      <w:lvlJc w:val="left"/>
      <w:pPr>
        <w:tabs>
          <w:tab w:val="num" w:pos="567"/>
        </w:tabs>
        <w:ind w:left="567" w:hanging="567"/>
      </w:pPr>
      <w:rPr>
        <w:rFonts w:ascii="Wingdings 3" w:hAnsi="Wingdings 3"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E688F"/>
    <w:multiLevelType w:val="hybridMultilevel"/>
    <w:tmpl w:val="3A8A28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53809A5"/>
    <w:multiLevelType w:val="hybridMultilevel"/>
    <w:tmpl w:val="7BFA8A8C"/>
    <w:lvl w:ilvl="0" w:tplc="2DB4DC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D9729AD"/>
    <w:multiLevelType w:val="hybridMultilevel"/>
    <w:tmpl w:val="E4AAD544"/>
    <w:lvl w:ilvl="0" w:tplc="2DB4DC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3D783B"/>
    <w:multiLevelType w:val="hybridMultilevel"/>
    <w:tmpl w:val="6A8848CE"/>
    <w:lvl w:ilvl="0" w:tplc="2DB4DC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DF1E61"/>
    <w:multiLevelType w:val="hybridMultilevel"/>
    <w:tmpl w:val="3C724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701997"/>
    <w:multiLevelType w:val="hybridMultilevel"/>
    <w:tmpl w:val="16F40BCE"/>
    <w:lvl w:ilvl="0" w:tplc="04F8E558">
      <w:start w:val="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0831E82"/>
    <w:multiLevelType w:val="multilevel"/>
    <w:tmpl w:val="39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185644">
    <w:abstractNumId w:val="3"/>
  </w:num>
  <w:num w:numId="2" w16cid:durableId="1320698258">
    <w:abstractNumId w:val="16"/>
  </w:num>
  <w:num w:numId="3" w16cid:durableId="12075166">
    <w:abstractNumId w:val="14"/>
  </w:num>
  <w:num w:numId="4" w16cid:durableId="931663520">
    <w:abstractNumId w:val="15"/>
  </w:num>
  <w:num w:numId="5" w16cid:durableId="1659261807">
    <w:abstractNumId w:val="13"/>
  </w:num>
  <w:num w:numId="6" w16cid:durableId="1278947352">
    <w:abstractNumId w:val="0"/>
    <w:lvlOverride w:ilvl="0">
      <w:lvl w:ilvl="0">
        <w:numFmt w:val="bullet"/>
        <w:lvlText w:val=""/>
        <w:legacy w:legacy="1" w:legacySpace="0" w:legacyIndent="0"/>
        <w:lvlJc w:val="left"/>
        <w:rPr>
          <w:rFonts w:ascii="Symbol" w:hAnsi="Symbol" w:hint="default"/>
        </w:rPr>
      </w:lvl>
    </w:lvlOverride>
  </w:num>
  <w:num w:numId="7" w16cid:durableId="574625916">
    <w:abstractNumId w:val="8"/>
  </w:num>
  <w:num w:numId="8" w16cid:durableId="590164613">
    <w:abstractNumId w:val="5"/>
  </w:num>
  <w:num w:numId="9" w16cid:durableId="159122006">
    <w:abstractNumId w:val="11"/>
  </w:num>
  <w:num w:numId="10" w16cid:durableId="16672482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3625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805001">
    <w:abstractNumId w:val="9"/>
  </w:num>
  <w:num w:numId="13" w16cid:durableId="1463576345">
    <w:abstractNumId w:val="1"/>
  </w:num>
  <w:num w:numId="14" w16cid:durableId="1293248976">
    <w:abstractNumId w:val="10"/>
  </w:num>
  <w:num w:numId="15" w16cid:durableId="713193853">
    <w:abstractNumId w:val="4"/>
  </w:num>
  <w:num w:numId="16" w16cid:durableId="64881629">
    <w:abstractNumId w:val="19"/>
  </w:num>
  <w:num w:numId="17" w16cid:durableId="138302386">
    <w:abstractNumId w:val="12"/>
  </w:num>
  <w:num w:numId="18" w16cid:durableId="169686344">
    <w:abstractNumId w:val="7"/>
  </w:num>
  <w:num w:numId="19" w16cid:durableId="247813769">
    <w:abstractNumId w:val="18"/>
  </w:num>
  <w:num w:numId="20" w16cid:durableId="854660246">
    <w:abstractNumId w:val="17"/>
  </w:num>
  <w:num w:numId="21" w16cid:durableId="181903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D7E"/>
    <w:rsid w:val="00000225"/>
    <w:rsid w:val="000409CE"/>
    <w:rsid w:val="000F2787"/>
    <w:rsid w:val="00181E89"/>
    <w:rsid w:val="00212B24"/>
    <w:rsid w:val="00241774"/>
    <w:rsid w:val="0029066F"/>
    <w:rsid w:val="002D2AF6"/>
    <w:rsid w:val="00303577"/>
    <w:rsid w:val="0039673B"/>
    <w:rsid w:val="003A7539"/>
    <w:rsid w:val="0041454E"/>
    <w:rsid w:val="00423CE0"/>
    <w:rsid w:val="00430386"/>
    <w:rsid w:val="00437105"/>
    <w:rsid w:val="00614E10"/>
    <w:rsid w:val="00701D7E"/>
    <w:rsid w:val="00711FE9"/>
    <w:rsid w:val="007520B4"/>
    <w:rsid w:val="00785C93"/>
    <w:rsid w:val="007A5D3A"/>
    <w:rsid w:val="00803742"/>
    <w:rsid w:val="00824705"/>
    <w:rsid w:val="008529CA"/>
    <w:rsid w:val="008C7224"/>
    <w:rsid w:val="009020BB"/>
    <w:rsid w:val="00917394"/>
    <w:rsid w:val="009A07AD"/>
    <w:rsid w:val="00A3263A"/>
    <w:rsid w:val="00A35ED1"/>
    <w:rsid w:val="00B14F02"/>
    <w:rsid w:val="00B40C4F"/>
    <w:rsid w:val="00D80872"/>
    <w:rsid w:val="00D81552"/>
    <w:rsid w:val="00DF3BDC"/>
    <w:rsid w:val="00EB0E25"/>
    <w:rsid w:val="00EF2C0D"/>
    <w:rsid w:val="00F6682E"/>
    <w:rsid w:val="00FF1F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CA93"/>
  <w15:docId w15:val="{15691BF6-207A-4BC4-8EBC-4AE5675F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9673B"/>
    <w:pPr>
      <w:keepNext/>
      <w:tabs>
        <w:tab w:val="left" w:pos="3884"/>
      </w:tabs>
      <w:overflowPunct w:val="0"/>
      <w:autoSpaceDE w:val="0"/>
      <w:autoSpaceDN w:val="0"/>
      <w:adjustRightInd w:val="0"/>
      <w:spacing w:after="0" w:line="240" w:lineRule="auto"/>
      <w:ind w:right="28"/>
      <w:textAlignment w:val="baseline"/>
      <w:outlineLvl w:val="0"/>
    </w:pPr>
    <w:rPr>
      <w:rFonts w:ascii="Calisto MT" w:eastAsia="Times New Roman" w:hAnsi="Calisto MT" w:cs="Lucida Sans Unicode"/>
      <w:i/>
      <w:iCs/>
      <w:noProof/>
      <w:sz w:val="18"/>
      <w:szCs w:val="20"/>
      <w:lang w:eastAsia="nl-NL"/>
    </w:rPr>
  </w:style>
  <w:style w:type="paragraph" w:styleId="Heading2">
    <w:name w:val="heading 2"/>
    <w:basedOn w:val="Normal"/>
    <w:next w:val="Normal"/>
    <w:link w:val="Heading2Char"/>
    <w:uiPriority w:val="99"/>
    <w:qFormat/>
    <w:rsid w:val="0039673B"/>
    <w:pPr>
      <w:keepNext/>
      <w:tabs>
        <w:tab w:val="left" w:pos="4678"/>
      </w:tabs>
      <w:overflowPunct w:val="0"/>
      <w:autoSpaceDE w:val="0"/>
      <w:autoSpaceDN w:val="0"/>
      <w:adjustRightInd w:val="0"/>
      <w:spacing w:after="0" w:line="240" w:lineRule="auto"/>
      <w:jc w:val="both"/>
      <w:textAlignment w:val="baseline"/>
      <w:outlineLvl w:val="1"/>
    </w:pPr>
    <w:rPr>
      <w:rFonts w:ascii="Univers" w:eastAsia="Times New Roman" w:hAnsi="Univers" w:cs="Times New Roman"/>
      <w:noProof/>
      <w:sz w:val="24"/>
      <w:szCs w:val="20"/>
      <w:lang w:eastAsia="nl-NL"/>
    </w:rPr>
  </w:style>
  <w:style w:type="paragraph" w:styleId="Heading3">
    <w:name w:val="heading 3"/>
    <w:basedOn w:val="Normal"/>
    <w:next w:val="Normal"/>
    <w:link w:val="Heading3Char"/>
    <w:uiPriority w:val="99"/>
    <w:qFormat/>
    <w:rsid w:val="0039673B"/>
    <w:pPr>
      <w:keepNext/>
      <w:overflowPunct w:val="0"/>
      <w:autoSpaceDE w:val="0"/>
      <w:autoSpaceDN w:val="0"/>
      <w:adjustRightInd w:val="0"/>
      <w:spacing w:after="0" w:line="240" w:lineRule="auto"/>
      <w:ind w:right="28"/>
      <w:textAlignment w:val="baseline"/>
      <w:outlineLvl w:val="2"/>
    </w:pPr>
    <w:rPr>
      <w:rFonts w:ascii="Univers" w:eastAsia="Times New Roman" w:hAnsi="Univers" w:cs="Lucida Sans Unicode"/>
      <w:b/>
      <w:bCs/>
      <w:noProof/>
      <w:szCs w:val="20"/>
      <w:lang w:eastAsia="nl-NL"/>
    </w:rPr>
  </w:style>
  <w:style w:type="paragraph" w:styleId="Heading4">
    <w:name w:val="heading 4"/>
    <w:basedOn w:val="Normal"/>
    <w:next w:val="Normal"/>
    <w:link w:val="Heading4Char"/>
    <w:uiPriority w:val="99"/>
    <w:qFormat/>
    <w:rsid w:val="0039673B"/>
    <w:pPr>
      <w:keepNext/>
      <w:overflowPunct w:val="0"/>
      <w:autoSpaceDE w:val="0"/>
      <w:autoSpaceDN w:val="0"/>
      <w:adjustRightInd w:val="0"/>
      <w:spacing w:after="0" w:line="240" w:lineRule="auto"/>
      <w:ind w:right="28"/>
      <w:textAlignment w:val="baseline"/>
      <w:outlineLvl w:val="3"/>
    </w:pPr>
    <w:rPr>
      <w:rFonts w:ascii="Univers" w:eastAsia="Times New Roman" w:hAnsi="Univers" w:cs="Lucida Sans Unicode"/>
      <w:noProof/>
      <w:szCs w:val="20"/>
      <w:u w:val="single"/>
      <w:lang w:eastAsia="nl-NL"/>
    </w:rPr>
  </w:style>
  <w:style w:type="paragraph" w:styleId="Heading5">
    <w:name w:val="heading 5"/>
    <w:basedOn w:val="Normal"/>
    <w:next w:val="Normal"/>
    <w:link w:val="Heading5Char"/>
    <w:uiPriority w:val="99"/>
    <w:qFormat/>
    <w:rsid w:val="0039673B"/>
    <w:pPr>
      <w:keepNext/>
      <w:overflowPunct w:val="0"/>
      <w:autoSpaceDE w:val="0"/>
      <w:autoSpaceDN w:val="0"/>
      <w:adjustRightInd w:val="0"/>
      <w:spacing w:after="0" w:line="240" w:lineRule="auto"/>
      <w:ind w:right="-540"/>
      <w:textAlignment w:val="baseline"/>
      <w:outlineLvl w:val="4"/>
    </w:pPr>
    <w:rPr>
      <w:rFonts w:ascii="Univers" w:eastAsia="Times New Roman" w:hAnsi="Univers" w:cs="Times New Roman"/>
      <w:i/>
      <w:noProof/>
      <w:color w:val="0E0059"/>
      <w:szCs w:val="20"/>
      <w:lang w:eastAsia="nl-NL"/>
    </w:rPr>
  </w:style>
  <w:style w:type="paragraph" w:styleId="Heading6">
    <w:name w:val="heading 6"/>
    <w:basedOn w:val="Normal"/>
    <w:next w:val="Normal"/>
    <w:link w:val="Heading6Char"/>
    <w:uiPriority w:val="99"/>
    <w:qFormat/>
    <w:rsid w:val="0039673B"/>
    <w:pPr>
      <w:keepNext/>
      <w:overflowPunct w:val="0"/>
      <w:autoSpaceDE w:val="0"/>
      <w:autoSpaceDN w:val="0"/>
      <w:adjustRightInd w:val="0"/>
      <w:spacing w:after="0" w:line="240" w:lineRule="auto"/>
      <w:ind w:right="28"/>
      <w:textAlignment w:val="baseline"/>
      <w:outlineLvl w:val="5"/>
    </w:pPr>
    <w:rPr>
      <w:rFonts w:ascii="Myriad Pro" w:eastAsia="Times New Roman" w:hAnsi="Myriad Pro" w:cs="Times New Roman"/>
      <w:noProof/>
      <w:sz w:val="40"/>
      <w:szCs w:val="20"/>
      <w:lang w:eastAsia="nl-NL"/>
    </w:rPr>
  </w:style>
  <w:style w:type="paragraph" w:styleId="Heading7">
    <w:name w:val="heading 7"/>
    <w:basedOn w:val="Normal"/>
    <w:next w:val="Normal"/>
    <w:link w:val="Heading7Char"/>
    <w:uiPriority w:val="99"/>
    <w:unhideWhenUsed/>
    <w:qFormat/>
    <w:rsid w:val="0039673B"/>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noProof/>
      <w:color w:val="243F60" w:themeColor="accent1" w:themeShade="7F"/>
      <w:sz w:val="20"/>
      <w:szCs w:val="20"/>
      <w:lang w:eastAsia="nl-NL"/>
    </w:rPr>
  </w:style>
  <w:style w:type="paragraph" w:styleId="Heading8">
    <w:name w:val="heading 8"/>
    <w:basedOn w:val="Normal"/>
    <w:next w:val="Normal"/>
    <w:link w:val="Heading8Char"/>
    <w:uiPriority w:val="99"/>
    <w:qFormat/>
    <w:rsid w:val="0039673B"/>
    <w:pPr>
      <w:keepNext/>
      <w:tabs>
        <w:tab w:val="left" w:pos="-828"/>
        <w:tab w:val="left" w:pos="4253"/>
      </w:tabs>
      <w:suppressAutoHyphens/>
      <w:overflowPunct w:val="0"/>
      <w:autoSpaceDE w:val="0"/>
      <w:autoSpaceDN w:val="0"/>
      <w:adjustRightInd w:val="0"/>
      <w:spacing w:after="0" w:line="240" w:lineRule="auto"/>
      <w:jc w:val="both"/>
      <w:textAlignment w:val="baseline"/>
      <w:outlineLvl w:val="7"/>
    </w:pPr>
    <w:rPr>
      <w:rFonts w:ascii="Myriad Pro" w:eastAsia="Times New Roman" w:hAnsi="Myriad Pro" w:cs="Times New Roman"/>
      <w:b/>
      <w:bCs/>
      <w:i/>
      <w:iCs/>
      <w:spacing w:val="-3"/>
      <w:szCs w:val="20"/>
      <w:lang w:eastAsia="nl-NL"/>
    </w:rPr>
  </w:style>
  <w:style w:type="paragraph" w:styleId="Heading9">
    <w:name w:val="heading 9"/>
    <w:basedOn w:val="Normal"/>
    <w:next w:val="Normal"/>
    <w:link w:val="Heading9Char"/>
    <w:uiPriority w:val="99"/>
    <w:qFormat/>
    <w:rsid w:val="0039673B"/>
    <w:pPr>
      <w:keepNext/>
      <w:overflowPunct w:val="0"/>
      <w:autoSpaceDE w:val="0"/>
      <w:autoSpaceDN w:val="0"/>
      <w:adjustRightInd w:val="0"/>
      <w:spacing w:after="0" w:line="240" w:lineRule="auto"/>
      <w:jc w:val="center"/>
      <w:textAlignment w:val="baseline"/>
      <w:outlineLvl w:val="8"/>
    </w:pPr>
    <w:rPr>
      <w:rFonts w:ascii="Myriad Pro" w:eastAsia="Times New Roman" w:hAnsi="Myriad Pro" w:cs="Times New Roman"/>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9CA"/>
    <w:pPr>
      <w:ind w:left="720"/>
      <w:contextualSpacing/>
    </w:pPr>
  </w:style>
  <w:style w:type="character" w:styleId="CommentReference">
    <w:name w:val="annotation reference"/>
    <w:basedOn w:val="DefaultParagraphFont"/>
    <w:uiPriority w:val="99"/>
    <w:semiHidden/>
    <w:unhideWhenUsed/>
    <w:rsid w:val="00241774"/>
    <w:rPr>
      <w:sz w:val="16"/>
      <w:szCs w:val="16"/>
    </w:rPr>
  </w:style>
  <w:style w:type="paragraph" w:styleId="CommentText">
    <w:name w:val="annotation text"/>
    <w:basedOn w:val="Normal"/>
    <w:link w:val="CommentTextChar"/>
    <w:uiPriority w:val="99"/>
    <w:semiHidden/>
    <w:unhideWhenUsed/>
    <w:rsid w:val="00241774"/>
    <w:pPr>
      <w:spacing w:line="240" w:lineRule="auto"/>
    </w:pPr>
    <w:rPr>
      <w:sz w:val="20"/>
      <w:szCs w:val="20"/>
    </w:rPr>
  </w:style>
  <w:style w:type="character" w:customStyle="1" w:styleId="CommentTextChar">
    <w:name w:val="Comment Text Char"/>
    <w:basedOn w:val="DefaultParagraphFont"/>
    <w:link w:val="CommentText"/>
    <w:uiPriority w:val="99"/>
    <w:semiHidden/>
    <w:rsid w:val="00241774"/>
    <w:rPr>
      <w:sz w:val="20"/>
      <w:szCs w:val="20"/>
    </w:rPr>
  </w:style>
  <w:style w:type="paragraph" w:styleId="CommentSubject">
    <w:name w:val="annotation subject"/>
    <w:basedOn w:val="CommentText"/>
    <w:next w:val="CommentText"/>
    <w:link w:val="CommentSubjectChar"/>
    <w:uiPriority w:val="99"/>
    <w:semiHidden/>
    <w:unhideWhenUsed/>
    <w:rsid w:val="00241774"/>
    <w:rPr>
      <w:b/>
      <w:bCs/>
    </w:rPr>
  </w:style>
  <w:style w:type="character" w:customStyle="1" w:styleId="CommentSubjectChar">
    <w:name w:val="Comment Subject Char"/>
    <w:basedOn w:val="CommentTextChar"/>
    <w:link w:val="CommentSubject"/>
    <w:uiPriority w:val="99"/>
    <w:semiHidden/>
    <w:rsid w:val="00241774"/>
    <w:rPr>
      <w:b/>
      <w:bCs/>
      <w:sz w:val="20"/>
      <w:szCs w:val="20"/>
    </w:rPr>
  </w:style>
  <w:style w:type="paragraph" w:styleId="BalloonText">
    <w:name w:val="Balloon Text"/>
    <w:basedOn w:val="Normal"/>
    <w:link w:val="BalloonTextChar"/>
    <w:uiPriority w:val="99"/>
    <w:unhideWhenUsed/>
    <w:rsid w:val="0024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1774"/>
    <w:rPr>
      <w:rFonts w:ascii="Tahoma" w:hAnsi="Tahoma" w:cs="Tahoma"/>
      <w:sz w:val="16"/>
      <w:szCs w:val="16"/>
    </w:rPr>
  </w:style>
  <w:style w:type="paragraph" w:styleId="Header">
    <w:name w:val="header"/>
    <w:basedOn w:val="Normal"/>
    <w:link w:val="HeaderChar"/>
    <w:uiPriority w:val="99"/>
    <w:unhideWhenUsed/>
    <w:rsid w:val="007A5D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D3A"/>
  </w:style>
  <w:style w:type="paragraph" w:styleId="Footer">
    <w:name w:val="footer"/>
    <w:basedOn w:val="Normal"/>
    <w:link w:val="FooterChar"/>
    <w:uiPriority w:val="99"/>
    <w:unhideWhenUsed/>
    <w:rsid w:val="007A5D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D3A"/>
  </w:style>
  <w:style w:type="character" w:customStyle="1" w:styleId="Heading1Char">
    <w:name w:val="Heading 1 Char"/>
    <w:basedOn w:val="DefaultParagraphFont"/>
    <w:link w:val="Heading1"/>
    <w:uiPriority w:val="99"/>
    <w:rsid w:val="0039673B"/>
    <w:rPr>
      <w:rFonts w:ascii="Calisto MT" w:eastAsia="Times New Roman" w:hAnsi="Calisto MT" w:cs="Lucida Sans Unicode"/>
      <w:i/>
      <w:iCs/>
      <w:noProof/>
      <w:sz w:val="18"/>
      <w:szCs w:val="20"/>
      <w:lang w:eastAsia="nl-NL"/>
    </w:rPr>
  </w:style>
  <w:style w:type="character" w:customStyle="1" w:styleId="Heading2Char">
    <w:name w:val="Heading 2 Char"/>
    <w:basedOn w:val="DefaultParagraphFont"/>
    <w:link w:val="Heading2"/>
    <w:uiPriority w:val="99"/>
    <w:rsid w:val="0039673B"/>
    <w:rPr>
      <w:rFonts w:ascii="Univers" w:eastAsia="Times New Roman" w:hAnsi="Univers" w:cs="Times New Roman"/>
      <w:noProof/>
      <w:sz w:val="24"/>
      <w:szCs w:val="20"/>
      <w:lang w:eastAsia="nl-NL"/>
    </w:rPr>
  </w:style>
  <w:style w:type="character" w:customStyle="1" w:styleId="Heading3Char">
    <w:name w:val="Heading 3 Char"/>
    <w:basedOn w:val="DefaultParagraphFont"/>
    <w:link w:val="Heading3"/>
    <w:uiPriority w:val="99"/>
    <w:rsid w:val="0039673B"/>
    <w:rPr>
      <w:rFonts w:ascii="Univers" w:eastAsia="Times New Roman" w:hAnsi="Univers" w:cs="Lucida Sans Unicode"/>
      <w:b/>
      <w:bCs/>
      <w:noProof/>
      <w:szCs w:val="20"/>
      <w:lang w:eastAsia="nl-NL"/>
    </w:rPr>
  </w:style>
  <w:style w:type="character" w:customStyle="1" w:styleId="Heading4Char">
    <w:name w:val="Heading 4 Char"/>
    <w:basedOn w:val="DefaultParagraphFont"/>
    <w:link w:val="Heading4"/>
    <w:uiPriority w:val="99"/>
    <w:rsid w:val="0039673B"/>
    <w:rPr>
      <w:rFonts w:ascii="Univers" w:eastAsia="Times New Roman" w:hAnsi="Univers" w:cs="Lucida Sans Unicode"/>
      <w:noProof/>
      <w:szCs w:val="20"/>
      <w:u w:val="single"/>
      <w:lang w:eastAsia="nl-NL"/>
    </w:rPr>
  </w:style>
  <w:style w:type="character" w:customStyle="1" w:styleId="Heading5Char">
    <w:name w:val="Heading 5 Char"/>
    <w:basedOn w:val="DefaultParagraphFont"/>
    <w:link w:val="Heading5"/>
    <w:uiPriority w:val="99"/>
    <w:rsid w:val="0039673B"/>
    <w:rPr>
      <w:rFonts w:ascii="Univers" w:eastAsia="Times New Roman" w:hAnsi="Univers" w:cs="Times New Roman"/>
      <w:i/>
      <w:noProof/>
      <w:color w:val="0E0059"/>
      <w:szCs w:val="20"/>
      <w:lang w:eastAsia="nl-NL"/>
    </w:rPr>
  </w:style>
  <w:style w:type="character" w:customStyle="1" w:styleId="Heading6Char">
    <w:name w:val="Heading 6 Char"/>
    <w:basedOn w:val="DefaultParagraphFont"/>
    <w:link w:val="Heading6"/>
    <w:uiPriority w:val="99"/>
    <w:rsid w:val="0039673B"/>
    <w:rPr>
      <w:rFonts w:ascii="Myriad Pro" w:eastAsia="Times New Roman" w:hAnsi="Myriad Pro" w:cs="Times New Roman"/>
      <w:noProof/>
      <w:sz w:val="40"/>
      <w:szCs w:val="20"/>
      <w:lang w:eastAsia="nl-NL"/>
    </w:rPr>
  </w:style>
  <w:style w:type="character" w:customStyle="1" w:styleId="Heading7Char">
    <w:name w:val="Heading 7 Char"/>
    <w:basedOn w:val="DefaultParagraphFont"/>
    <w:link w:val="Heading7"/>
    <w:uiPriority w:val="99"/>
    <w:rsid w:val="0039673B"/>
    <w:rPr>
      <w:rFonts w:asciiTheme="majorHAnsi" w:eastAsiaTheme="majorEastAsia" w:hAnsiTheme="majorHAnsi" w:cstheme="majorBidi"/>
      <w:i/>
      <w:iCs/>
      <w:noProof/>
      <w:color w:val="243F60" w:themeColor="accent1" w:themeShade="7F"/>
      <w:sz w:val="20"/>
      <w:szCs w:val="20"/>
      <w:lang w:eastAsia="nl-NL"/>
    </w:rPr>
  </w:style>
  <w:style w:type="character" w:customStyle="1" w:styleId="Heading8Char">
    <w:name w:val="Heading 8 Char"/>
    <w:basedOn w:val="DefaultParagraphFont"/>
    <w:link w:val="Heading8"/>
    <w:uiPriority w:val="99"/>
    <w:rsid w:val="0039673B"/>
    <w:rPr>
      <w:rFonts w:ascii="Myriad Pro" w:eastAsia="Times New Roman" w:hAnsi="Myriad Pro" w:cs="Times New Roman"/>
      <w:b/>
      <w:bCs/>
      <w:i/>
      <w:iCs/>
      <w:spacing w:val="-3"/>
      <w:szCs w:val="20"/>
      <w:lang w:eastAsia="nl-NL"/>
    </w:rPr>
  </w:style>
  <w:style w:type="character" w:customStyle="1" w:styleId="Heading9Char">
    <w:name w:val="Heading 9 Char"/>
    <w:basedOn w:val="DefaultParagraphFont"/>
    <w:link w:val="Heading9"/>
    <w:uiPriority w:val="99"/>
    <w:rsid w:val="0039673B"/>
    <w:rPr>
      <w:rFonts w:ascii="Myriad Pro" w:eastAsia="Times New Roman" w:hAnsi="Myriad Pro" w:cs="Times New Roman"/>
      <w:sz w:val="24"/>
      <w:szCs w:val="20"/>
      <w:lang w:eastAsia="nl-NL"/>
    </w:rPr>
  </w:style>
  <w:style w:type="paragraph" w:styleId="BodyText">
    <w:name w:val="Body Text"/>
    <w:basedOn w:val="Normal"/>
    <w:link w:val="BodyTextChar"/>
    <w:uiPriority w:val="99"/>
    <w:rsid w:val="0039673B"/>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noProof/>
      <w:szCs w:val="20"/>
      <w:lang w:eastAsia="nl-NL"/>
    </w:rPr>
  </w:style>
  <w:style w:type="character" w:customStyle="1" w:styleId="BodyTextChar">
    <w:name w:val="Body Text Char"/>
    <w:basedOn w:val="DefaultParagraphFont"/>
    <w:link w:val="BodyText"/>
    <w:uiPriority w:val="99"/>
    <w:rsid w:val="0039673B"/>
    <w:rPr>
      <w:rFonts w:ascii="Times New Roman" w:eastAsia="Times New Roman" w:hAnsi="Times New Roman" w:cs="Times New Roman"/>
      <w:noProof/>
      <w:szCs w:val="20"/>
      <w:lang w:eastAsia="nl-NL"/>
    </w:rPr>
  </w:style>
  <w:style w:type="character" w:styleId="Hyperlink">
    <w:name w:val="Hyperlink"/>
    <w:basedOn w:val="DefaultParagraphFont"/>
    <w:uiPriority w:val="99"/>
    <w:rsid w:val="0039673B"/>
    <w:rPr>
      <w:color w:val="0000FF"/>
      <w:u w:val="single"/>
    </w:rPr>
  </w:style>
  <w:style w:type="paragraph" w:styleId="BodyText2">
    <w:name w:val="Body Text 2"/>
    <w:basedOn w:val="Normal"/>
    <w:link w:val="BodyText2Char"/>
    <w:uiPriority w:val="99"/>
    <w:rsid w:val="0039673B"/>
    <w:pPr>
      <w:autoSpaceDE w:val="0"/>
      <w:autoSpaceDN w:val="0"/>
      <w:adjustRightInd w:val="0"/>
      <w:spacing w:after="0" w:line="240" w:lineRule="auto"/>
    </w:pPr>
    <w:rPr>
      <w:rFonts w:ascii="Myriad Pro" w:eastAsia="Times New Roman" w:hAnsi="Myriad Pro" w:cs="Arial"/>
      <w:noProof/>
      <w:color w:val="3E3F2C"/>
      <w:sz w:val="20"/>
      <w:szCs w:val="20"/>
      <w:lang w:eastAsia="nl-NL"/>
    </w:rPr>
  </w:style>
  <w:style w:type="character" w:customStyle="1" w:styleId="BodyText2Char">
    <w:name w:val="Body Text 2 Char"/>
    <w:basedOn w:val="DefaultParagraphFont"/>
    <w:link w:val="BodyText2"/>
    <w:uiPriority w:val="99"/>
    <w:rsid w:val="0039673B"/>
    <w:rPr>
      <w:rFonts w:ascii="Myriad Pro" w:eastAsia="Times New Roman" w:hAnsi="Myriad Pro" w:cs="Arial"/>
      <w:noProof/>
      <w:color w:val="3E3F2C"/>
      <w:sz w:val="20"/>
      <w:szCs w:val="20"/>
      <w:lang w:eastAsia="nl-NL"/>
    </w:rPr>
  </w:style>
  <w:style w:type="paragraph" w:customStyle="1" w:styleId="Lijstalinea1">
    <w:name w:val="Lijstalinea1"/>
    <w:basedOn w:val="Normal"/>
    <w:rsid w:val="0039673B"/>
    <w:pPr>
      <w:ind w:left="720"/>
      <w:contextualSpacing/>
    </w:pPr>
    <w:rPr>
      <w:rFonts w:ascii="Calibri" w:eastAsia="Times New Roman" w:hAnsi="Calibri" w:cs="Times New Roman"/>
      <w:noProof/>
    </w:rPr>
  </w:style>
  <w:style w:type="table" w:styleId="TableGrid">
    <w:name w:val="Table Grid"/>
    <w:basedOn w:val="TableNormal"/>
    <w:rsid w:val="0039673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Plain">
    <w:name w:val="FFW Plain"/>
    <w:basedOn w:val="Normal"/>
    <w:locked/>
    <w:rsid w:val="0039673B"/>
    <w:pPr>
      <w:spacing w:after="0" w:line="260" w:lineRule="atLeast"/>
      <w:jc w:val="both"/>
    </w:pPr>
    <w:rPr>
      <w:rFonts w:ascii="Arial" w:eastAsia="Times New Roman" w:hAnsi="Arial" w:cs="Arial"/>
      <w:noProof/>
      <w:sz w:val="20"/>
      <w:szCs w:val="24"/>
      <w:lang w:eastAsia="en-GB"/>
    </w:rPr>
  </w:style>
  <w:style w:type="character" w:customStyle="1" w:styleId="widget-contact-value">
    <w:name w:val="widget-contact-value"/>
    <w:basedOn w:val="DefaultParagraphFont"/>
    <w:rsid w:val="0039673B"/>
  </w:style>
  <w:style w:type="paragraph" w:customStyle="1" w:styleId="Aanhef1">
    <w:name w:val="Aanhef1"/>
    <w:basedOn w:val="Normal"/>
    <w:next w:val="Normal"/>
    <w:link w:val="Tekensvooraanhef"/>
    <w:uiPriority w:val="1"/>
    <w:unhideWhenUsed/>
    <w:qFormat/>
    <w:rsid w:val="0039673B"/>
    <w:pPr>
      <w:spacing w:before="720" w:after="160" w:line="288" w:lineRule="auto"/>
    </w:pPr>
    <w:rPr>
      <w:color w:val="595959" w:themeColor="text1" w:themeTint="A6"/>
      <w:kern w:val="20"/>
      <w:sz w:val="20"/>
      <w:szCs w:val="20"/>
      <w:lang w:eastAsia="nl-NL"/>
    </w:rPr>
  </w:style>
  <w:style w:type="character" w:customStyle="1" w:styleId="Tekensvooraanhef">
    <w:name w:val="Tekens voor aanhef"/>
    <w:basedOn w:val="DefaultParagraphFont"/>
    <w:link w:val="Aanhef1"/>
    <w:uiPriority w:val="1"/>
    <w:rsid w:val="0039673B"/>
    <w:rPr>
      <w:color w:val="595959" w:themeColor="text1" w:themeTint="A6"/>
      <w:kern w:val="20"/>
      <w:sz w:val="20"/>
      <w:szCs w:val="20"/>
      <w:lang w:eastAsia="nl-NL"/>
    </w:rPr>
  </w:style>
  <w:style w:type="paragraph" w:customStyle="1" w:styleId="bijschrift">
    <w:name w:val="bijschrift"/>
    <w:basedOn w:val="Normal"/>
    <w:uiPriority w:val="99"/>
    <w:rsid w:val="0039673B"/>
    <w:pPr>
      <w:overflowPunct w:val="0"/>
      <w:autoSpaceDE w:val="0"/>
      <w:autoSpaceDN w:val="0"/>
      <w:adjustRightInd w:val="0"/>
      <w:spacing w:after="0" w:line="240" w:lineRule="auto"/>
      <w:textAlignment w:val="baseline"/>
    </w:pPr>
    <w:rPr>
      <w:rFonts w:ascii="Courier" w:eastAsia="Times New Roman" w:hAnsi="Courier" w:cs="Times New Roman"/>
      <w:sz w:val="24"/>
      <w:szCs w:val="20"/>
      <w:lang w:eastAsia="nl-NL"/>
    </w:rPr>
  </w:style>
  <w:style w:type="paragraph" w:customStyle="1" w:styleId="xl24">
    <w:name w:val="xl24"/>
    <w:basedOn w:val="Normal"/>
    <w:uiPriority w:val="99"/>
    <w:rsid w:val="0039673B"/>
    <w:pP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25">
    <w:name w:val="xl25"/>
    <w:basedOn w:val="Normal"/>
    <w:uiPriority w:val="99"/>
    <w:rsid w:val="0039673B"/>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26">
    <w:name w:val="xl26"/>
    <w:basedOn w:val="Normal"/>
    <w:uiPriority w:val="99"/>
    <w:rsid w:val="0039673B"/>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eastAsia="nl-NL"/>
    </w:rPr>
  </w:style>
  <w:style w:type="paragraph" w:customStyle="1" w:styleId="xl27">
    <w:name w:val="xl27"/>
    <w:basedOn w:val="Normal"/>
    <w:uiPriority w:val="99"/>
    <w:rsid w:val="0039673B"/>
    <w:pPr>
      <w:spacing w:before="100" w:beforeAutospacing="1" w:after="100" w:afterAutospacing="1" w:line="240" w:lineRule="auto"/>
      <w:jc w:val="center"/>
      <w:textAlignment w:val="center"/>
    </w:pPr>
    <w:rPr>
      <w:rFonts w:ascii="Univers" w:eastAsia="Arial Unicode MS" w:hAnsi="Univers" w:cs="Arial Unicode MS"/>
      <w:sz w:val="24"/>
      <w:szCs w:val="24"/>
      <w:lang w:eastAsia="nl-NL"/>
    </w:rPr>
  </w:style>
  <w:style w:type="paragraph" w:customStyle="1" w:styleId="xl28">
    <w:name w:val="xl28"/>
    <w:basedOn w:val="Normal"/>
    <w:uiPriority w:val="99"/>
    <w:rsid w:val="0039673B"/>
    <w:pPr>
      <w:spacing w:before="100" w:beforeAutospacing="1" w:after="100" w:afterAutospacing="1" w:line="240" w:lineRule="auto"/>
      <w:jc w:val="center"/>
      <w:textAlignment w:val="center"/>
    </w:pPr>
    <w:rPr>
      <w:rFonts w:ascii="Univers" w:eastAsia="Arial Unicode MS" w:hAnsi="Univers" w:cs="Arial Unicode MS"/>
      <w:b/>
      <w:bCs/>
      <w:sz w:val="24"/>
      <w:szCs w:val="24"/>
      <w:lang w:eastAsia="nl-NL"/>
    </w:rPr>
  </w:style>
  <w:style w:type="paragraph" w:customStyle="1" w:styleId="xl29">
    <w:name w:val="xl29"/>
    <w:basedOn w:val="Normal"/>
    <w:uiPriority w:val="99"/>
    <w:rsid w:val="003967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eastAsia="nl-NL"/>
    </w:rPr>
  </w:style>
  <w:style w:type="paragraph" w:customStyle="1" w:styleId="xl30">
    <w:name w:val="xl30"/>
    <w:basedOn w:val="Normal"/>
    <w:uiPriority w:val="99"/>
    <w:rsid w:val="0039673B"/>
    <w:pPr>
      <w:pBdr>
        <w:bottom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eastAsia="nl-NL"/>
    </w:rPr>
  </w:style>
  <w:style w:type="paragraph" w:customStyle="1" w:styleId="xl31">
    <w:name w:val="xl31"/>
    <w:basedOn w:val="Normal"/>
    <w:uiPriority w:val="99"/>
    <w:rsid w:val="0039673B"/>
    <w:pPr>
      <w:pBdr>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eastAsia="nl-NL"/>
    </w:rPr>
  </w:style>
  <w:style w:type="paragraph" w:customStyle="1" w:styleId="xl32">
    <w:name w:val="xl32"/>
    <w:basedOn w:val="Normal"/>
    <w:uiPriority w:val="99"/>
    <w:rsid w:val="0039673B"/>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33">
    <w:name w:val="xl33"/>
    <w:basedOn w:val="Normal"/>
    <w:uiPriority w:val="99"/>
    <w:rsid w:val="00396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eastAsia="nl-NL"/>
    </w:rPr>
  </w:style>
  <w:style w:type="paragraph" w:customStyle="1" w:styleId="xl34">
    <w:name w:val="xl34"/>
    <w:basedOn w:val="Normal"/>
    <w:uiPriority w:val="99"/>
    <w:rsid w:val="00396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35">
    <w:name w:val="xl35"/>
    <w:basedOn w:val="Normal"/>
    <w:uiPriority w:val="99"/>
    <w:rsid w:val="003967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eastAsia="nl-NL"/>
    </w:rPr>
  </w:style>
  <w:style w:type="paragraph" w:customStyle="1" w:styleId="xl36">
    <w:name w:val="xl36"/>
    <w:basedOn w:val="Normal"/>
    <w:uiPriority w:val="99"/>
    <w:rsid w:val="0039673B"/>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37">
    <w:name w:val="xl37"/>
    <w:basedOn w:val="Normal"/>
    <w:uiPriority w:val="99"/>
    <w:rsid w:val="003967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38">
    <w:name w:val="xl38"/>
    <w:basedOn w:val="Normal"/>
    <w:uiPriority w:val="99"/>
    <w:rsid w:val="0039673B"/>
    <w:pP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39">
    <w:name w:val="xl39"/>
    <w:basedOn w:val="Normal"/>
    <w:uiPriority w:val="99"/>
    <w:rsid w:val="0039673B"/>
    <w:pP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40">
    <w:name w:val="xl40"/>
    <w:basedOn w:val="Normal"/>
    <w:uiPriority w:val="99"/>
    <w:rsid w:val="0039673B"/>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41">
    <w:name w:val="xl41"/>
    <w:basedOn w:val="Normal"/>
    <w:uiPriority w:val="99"/>
    <w:rsid w:val="0039673B"/>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42">
    <w:name w:val="xl42"/>
    <w:basedOn w:val="Normal"/>
    <w:uiPriority w:val="99"/>
    <w:rsid w:val="0039673B"/>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eastAsia="nl-NL"/>
    </w:rPr>
  </w:style>
  <w:style w:type="paragraph" w:customStyle="1" w:styleId="xl43">
    <w:name w:val="xl43"/>
    <w:basedOn w:val="Normal"/>
    <w:uiPriority w:val="99"/>
    <w:rsid w:val="0039673B"/>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eastAsia="nl-NL"/>
    </w:rPr>
  </w:style>
  <w:style w:type="paragraph" w:customStyle="1" w:styleId="xl44">
    <w:name w:val="xl44"/>
    <w:basedOn w:val="Normal"/>
    <w:uiPriority w:val="99"/>
    <w:rsid w:val="003967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eastAsia="nl-NL"/>
    </w:rPr>
  </w:style>
  <w:style w:type="paragraph" w:customStyle="1" w:styleId="xl45">
    <w:name w:val="xl45"/>
    <w:basedOn w:val="Normal"/>
    <w:uiPriority w:val="99"/>
    <w:rsid w:val="003967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eastAsia="nl-NL"/>
    </w:rPr>
  </w:style>
  <w:style w:type="paragraph" w:customStyle="1" w:styleId="xl46">
    <w:name w:val="xl46"/>
    <w:basedOn w:val="Normal"/>
    <w:uiPriority w:val="99"/>
    <w:rsid w:val="0039673B"/>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47">
    <w:name w:val="xl47"/>
    <w:basedOn w:val="Normal"/>
    <w:uiPriority w:val="99"/>
    <w:rsid w:val="0039673B"/>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48">
    <w:name w:val="xl48"/>
    <w:basedOn w:val="Normal"/>
    <w:uiPriority w:val="99"/>
    <w:rsid w:val="003967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49">
    <w:name w:val="xl49"/>
    <w:basedOn w:val="Normal"/>
    <w:uiPriority w:val="99"/>
    <w:rsid w:val="003967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50">
    <w:name w:val="xl50"/>
    <w:basedOn w:val="Normal"/>
    <w:uiPriority w:val="99"/>
    <w:rsid w:val="0039673B"/>
    <w:pP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51">
    <w:name w:val="xl51"/>
    <w:basedOn w:val="Normal"/>
    <w:uiPriority w:val="99"/>
    <w:rsid w:val="0039673B"/>
    <w:pP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52">
    <w:name w:val="xl52"/>
    <w:basedOn w:val="Normal"/>
    <w:uiPriority w:val="99"/>
    <w:rsid w:val="0039673B"/>
    <w:pPr>
      <w:pBdr>
        <w:top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53">
    <w:name w:val="xl53"/>
    <w:basedOn w:val="Normal"/>
    <w:uiPriority w:val="99"/>
    <w:rsid w:val="0039673B"/>
    <w:pPr>
      <w:pBdr>
        <w:top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eastAsia="nl-NL"/>
    </w:rPr>
  </w:style>
  <w:style w:type="paragraph" w:customStyle="1" w:styleId="xl54">
    <w:name w:val="xl54"/>
    <w:basedOn w:val="Normal"/>
    <w:uiPriority w:val="99"/>
    <w:rsid w:val="0039673B"/>
    <w:pPr>
      <w:pBdr>
        <w:top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eastAsia="nl-NL"/>
    </w:rPr>
  </w:style>
  <w:style w:type="paragraph" w:customStyle="1" w:styleId="xl55">
    <w:name w:val="xl55"/>
    <w:basedOn w:val="Normal"/>
    <w:uiPriority w:val="99"/>
    <w:rsid w:val="0039673B"/>
    <w:pPr>
      <w:pBdr>
        <w:bottom w:val="single" w:sz="4" w:space="0" w:color="auto"/>
      </w:pBdr>
      <w:spacing w:before="100" w:beforeAutospacing="1" w:after="100" w:afterAutospacing="1" w:line="240" w:lineRule="auto"/>
      <w:jc w:val="right"/>
      <w:textAlignment w:val="center"/>
    </w:pPr>
    <w:rPr>
      <w:rFonts w:ascii="Univers" w:eastAsia="Arial Unicode MS" w:hAnsi="Univers" w:cs="Arial Unicode MS"/>
      <w:color w:val="000000"/>
      <w:sz w:val="18"/>
      <w:szCs w:val="18"/>
      <w:lang w:eastAsia="nl-NL"/>
    </w:rPr>
  </w:style>
  <w:style w:type="paragraph" w:customStyle="1" w:styleId="xl56">
    <w:name w:val="xl56"/>
    <w:basedOn w:val="Normal"/>
    <w:uiPriority w:val="99"/>
    <w:rsid w:val="0039673B"/>
    <w:pPr>
      <w:pBdr>
        <w:lef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57">
    <w:name w:val="xl57"/>
    <w:basedOn w:val="Normal"/>
    <w:uiPriority w:val="99"/>
    <w:rsid w:val="0039673B"/>
    <w:pPr>
      <w:spacing w:before="100" w:beforeAutospacing="1" w:after="100" w:afterAutospacing="1" w:line="240" w:lineRule="auto"/>
      <w:jc w:val="right"/>
      <w:textAlignment w:val="center"/>
    </w:pPr>
    <w:rPr>
      <w:rFonts w:ascii="Univers" w:eastAsia="Arial Unicode MS" w:hAnsi="Univers" w:cs="Arial Unicode MS"/>
      <w:color w:val="000000"/>
      <w:sz w:val="18"/>
      <w:szCs w:val="18"/>
      <w:lang w:eastAsia="nl-NL"/>
    </w:rPr>
  </w:style>
  <w:style w:type="paragraph" w:customStyle="1" w:styleId="xl58">
    <w:name w:val="xl58"/>
    <w:basedOn w:val="Normal"/>
    <w:uiPriority w:val="99"/>
    <w:rsid w:val="0039673B"/>
    <w:pPr>
      <w:spacing w:before="100" w:beforeAutospacing="1" w:after="100" w:afterAutospacing="1" w:line="240" w:lineRule="auto"/>
      <w:textAlignment w:val="center"/>
    </w:pPr>
    <w:rPr>
      <w:rFonts w:ascii="Univers" w:eastAsia="Arial Unicode MS" w:hAnsi="Univers" w:cs="Arial Unicode MS"/>
      <w:color w:val="000000"/>
      <w:sz w:val="18"/>
      <w:szCs w:val="18"/>
      <w:lang w:eastAsia="nl-NL"/>
    </w:rPr>
  </w:style>
  <w:style w:type="paragraph" w:customStyle="1" w:styleId="xl59">
    <w:name w:val="xl59"/>
    <w:basedOn w:val="Normal"/>
    <w:uiPriority w:val="99"/>
    <w:rsid w:val="0039673B"/>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eastAsia="nl-NL"/>
    </w:rPr>
  </w:style>
  <w:style w:type="paragraph" w:customStyle="1" w:styleId="xl60">
    <w:name w:val="xl60"/>
    <w:basedOn w:val="Normal"/>
    <w:uiPriority w:val="99"/>
    <w:rsid w:val="0039673B"/>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eastAsia="nl-NL"/>
    </w:rPr>
  </w:style>
  <w:style w:type="paragraph" w:customStyle="1" w:styleId="xl61">
    <w:name w:val="xl61"/>
    <w:basedOn w:val="Normal"/>
    <w:uiPriority w:val="99"/>
    <w:rsid w:val="0039673B"/>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eastAsia="nl-NL"/>
    </w:rPr>
  </w:style>
  <w:style w:type="character" w:styleId="PageNumber">
    <w:name w:val="page number"/>
    <w:basedOn w:val="DefaultParagraphFont"/>
    <w:uiPriority w:val="99"/>
    <w:semiHidden/>
    <w:rsid w:val="0039673B"/>
    <w:rPr>
      <w:rFonts w:cs="Times New Roman"/>
    </w:rPr>
  </w:style>
  <w:style w:type="paragraph" w:customStyle="1" w:styleId="xl22">
    <w:name w:val="xl22"/>
    <w:basedOn w:val="Normal"/>
    <w:uiPriority w:val="99"/>
    <w:rsid w:val="00396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eastAsia="nl-NL"/>
    </w:rPr>
  </w:style>
  <w:style w:type="paragraph" w:customStyle="1" w:styleId="xl23">
    <w:name w:val="xl23"/>
    <w:basedOn w:val="Normal"/>
    <w:uiPriority w:val="99"/>
    <w:rsid w:val="003967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eastAsia="nl-NL"/>
    </w:rPr>
  </w:style>
  <w:style w:type="paragraph" w:styleId="NormalWeb">
    <w:name w:val="Normal (Web)"/>
    <w:basedOn w:val="Normal"/>
    <w:uiPriority w:val="99"/>
    <w:unhideWhenUsed/>
    <w:rsid w:val="003967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UnresolvedMention">
    <w:name w:val="Unresolved Mention"/>
    <w:basedOn w:val="DefaultParagraphFont"/>
    <w:uiPriority w:val="99"/>
    <w:semiHidden/>
    <w:unhideWhenUsed/>
    <w:rsid w:val="0039673B"/>
    <w:rPr>
      <w:color w:val="605E5C"/>
      <w:shd w:val="clear" w:color="auto" w:fill="E1DFDD"/>
    </w:rPr>
  </w:style>
  <w:style w:type="character" w:styleId="FollowedHyperlink">
    <w:name w:val="FollowedHyperlink"/>
    <w:basedOn w:val="DefaultParagraphFont"/>
    <w:uiPriority w:val="99"/>
    <w:semiHidden/>
    <w:unhideWhenUsed/>
    <w:rsid w:val="0039673B"/>
    <w:rPr>
      <w:color w:val="800080"/>
      <w:u w:val="single"/>
    </w:rPr>
  </w:style>
  <w:style w:type="paragraph" w:customStyle="1" w:styleId="msonormal0">
    <w:name w:val="msonormal"/>
    <w:basedOn w:val="Normal"/>
    <w:rsid w:val="0039673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7">
    <w:name w:val="xl67"/>
    <w:basedOn w:val="Normal"/>
    <w:rsid w:val="0039673B"/>
    <w:pPr>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68">
    <w:name w:val="xl68"/>
    <w:basedOn w:val="Normal"/>
    <w:rsid w:val="0039673B"/>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69">
    <w:name w:val="xl69"/>
    <w:basedOn w:val="Normal"/>
    <w:rsid w:val="003967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eastAsia="nl-BE"/>
    </w:rPr>
  </w:style>
  <w:style w:type="paragraph" w:customStyle="1" w:styleId="xl70">
    <w:name w:val="xl70"/>
    <w:basedOn w:val="Normal"/>
    <w:rsid w:val="0039673B"/>
    <w:pPr>
      <w:pBdr>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eastAsia="nl-BE"/>
    </w:rPr>
  </w:style>
  <w:style w:type="paragraph" w:customStyle="1" w:styleId="xl71">
    <w:name w:val="xl71"/>
    <w:basedOn w:val="Normal"/>
    <w:rsid w:val="0039673B"/>
    <w:pP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eastAsia="nl-BE"/>
    </w:rPr>
  </w:style>
  <w:style w:type="paragraph" w:customStyle="1" w:styleId="xl72">
    <w:name w:val="xl72"/>
    <w:basedOn w:val="Normal"/>
    <w:rsid w:val="0039673B"/>
    <w:pPr>
      <w:pBdr>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eastAsia="nl-BE"/>
    </w:rPr>
  </w:style>
  <w:style w:type="paragraph" w:customStyle="1" w:styleId="xl73">
    <w:name w:val="xl73"/>
    <w:basedOn w:val="Normal"/>
    <w:rsid w:val="0039673B"/>
    <w:pPr>
      <w:pBdr>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eastAsia="nl-BE"/>
    </w:rPr>
  </w:style>
  <w:style w:type="paragraph" w:customStyle="1" w:styleId="xl74">
    <w:name w:val="xl74"/>
    <w:basedOn w:val="Normal"/>
    <w:rsid w:val="0039673B"/>
    <w:pPr>
      <w:pBdr>
        <w:top w:val="single" w:sz="4" w:space="0" w:color="FFFFFF"/>
        <w:left w:val="single" w:sz="4" w:space="0" w:color="auto"/>
        <w:bottom w:val="single" w:sz="4" w:space="0" w:color="auto"/>
      </w:pBdr>
      <w:shd w:val="clear" w:color="000000" w:fill="FFFFFF"/>
      <w:spacing w:before="100" w:beforeAutospacing="1" w:after="100" w:afterAutospacing="1" w:line="240" w:lineRule="auto"/>
    </w:pPr>
    <w:rPr>
      <w:rFonts w:ascii="Univers" w:eastAsia="Times New Roman" w:hAnsi="Univers" w:cs="Times New Roman"/>
      <w:b/>
      <w:bCs/>
      <w:color w:val="000000"/>
      <w:sz w:val="24"/>
      <w:szCs w:val="24"/>
      <w:lang w:eastAsia="nl-BE"/>
    </w:rPr>
  </w:style>
  <w:style w:type="paragraph" w:customStyle="1" w:styleId="xl75">
    <w:name w:val="xl75"/>
    <w:basedOn w:val="Normal"/>
    <w:rsid w:val="0039673B"/>
    <w:pPr>
      <w:pBdr>
        <w:top w:val="single" w:sz="4" w:space="0" w:color="FFFFFF"/>
        <w:left w:val="single" w:sz="4" w:space="0" w:color="auto"/>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eastAsia="nl-BE"/>
    </w:rPr>
  </w:style>
  <w:style w:type="paragraph" w:customStyle="1" w:styleId="xl76">
    <w:name w:val="xl76"/>
    <w:basedOn w:val="Normal"/>
    <w:rsid w:val="0039673B"/>
    <w:pPr>
      <w:pBdr>
        <w:top w:val="single" w:sz="4" w:space="0" w:color="FFFFFF"/>
        <w:left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eastAsia="nl-BE"/>
    </w:rPr>
  </w:style>
  <w:style w:type="paragraph" w:customStyle="1" w:styleId="xl77">
    <w:name w:val="xl77"/>
    <w:basedOn w:val="Normal"/>
    <w:rsid w:val="0039673B"/>
    <w:pPr>
      <w:pBdr>
        <w:left w:val="single" w:sz="4" w:space="0" w:color="FFFFFF"/>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eastAsia="nl-BE"/>
    </w:rPr>
  </w:style>
  <w:style w:type="paragraph" w:customStyle="1" w:styleId="xl78">
    <w:name w:val="xl78"/>
    <w:basedOn w:val="Normal"/>
    <w:rsid w:val="0039673B"/>
    <w:pPr>
      <w:pBdr>
        <w:top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eastAsia="nl-BE"/>
    </w:rPr>
  </w:style>
  <w:style w:type="paragraph" w:customStyle="1" w:styleId="xl79">
    <w:name w:val="xl79"/>
    <w:basedOn w:val="Normal"/>
    <w:rsid w:val="0039673B"/>
    <w:pPr>
      <w:pBdr>
        <w:top w:val="single" w:sz="4" w:space="0" w:color="FFFFFF"/>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eastAsia="nl-BE"/>
    </w:rPr>
  </w:style>
  <w:style w:type="paragraph" w:customStyle="1" w:styleId="xl80">
    <w:name w:val="xl80"/>
    <w:basedOn w:val="Normal"/>
    <w:rsid w:val="0039673B"/>
    <w:pPr>
      <w:pBdr>
        <w:top w:val="single" w:sz="4" w:space="0" w:color="FFFFFF"/>
        <w:left w:val="single" w:sz="4" w:space="0" w:color="auto"/>
        <w:bottom w:val="single" w:sz="4" w:space="0" w:color="FFFFFF"/>
      </w:pBdr>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81">
    <w:name w:val="xl81"/>
    <w:basedOn w:val="Normal"/>
    <w:rsid w:val="0039673B"/>
    <w:pPr>
      <w:pBdr>
        <w:left w:val="single" w:sz="4" w:space="0" w:color="auto"/>
        <w:bottom w:val="single" w:sz="4" w:space="0" w:color="FFFFFF"/>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eastAsia="nl-BE"/>
    </w:rPr>
  </w:style>
  <w:style w:type="paragraph" w:customStyle="1" w:styleId="xl82">
    <w:name w:val="xl82"/>
    <w:basedOn w:val="Normal"/>
    <w:rsid w:val="0039673B"/>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83">
    <w:name w:val="xl83"/>
    <w:basedOn w:val="Normal"/>
    <w:rsid w:val="0039673B"/>
    <w:pPr>
      <w:pBdr>
        <w:left w:val="single" w:sz="4" w:space="0" w:color="FFFFFF"/>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84">
    <w:name w:val="xl84"/>
    <w:basedOn w:val="Normal"/>
    <w:rsid w:val="0039673B"/>
    <w:pPr>
      <w:pBdr>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85">
    <w:name w:val="xl85"/>
    <w:basedOn w:val="Normal"/>
    <w:rsid w:val="0039673B"/>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86">
    <w:name w:val="xl86"/>
    <w:basedOn w:val="Normal"/>
    <w:rsid w:val="0039673B"/>
    <w:pPr>
      <w:pBdr>
        <w:left w:val="single" w:sz="4" w:space="0" w:color="FFFFFF"/>
        <w:bottom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87">
    <w:name w:val="xl87"/>
    <w:basedOn w:val="Normal"/>
    <w:rsid w:val="0039673B"/>
    <w:pPr>
      <w:pBdr>
        <w:left w:val="single" w:sz="4" w:space="0" w:color="auto"/>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88">
    <w:name w:val="xl88"/>
    <w:basedOn w:val="Normal"/>
    <w:rsid w:val="0039673B"/>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eastAsia="nl-BE"/>
    </w:rPr>
  </w:style>
  <w:style w:type="paragraph" w:customStyle="1" w:styleId="xl89">
    <w:name w:val="xl89"/>
    <w:basedOn w:val="Normal"/>
    <w:rsid w:val="0039673B"/>
    <w:pPr>
      <w:pBdr>
        <w:top w:val="single" w:sz="4" w:space="0" w:color="auto"/>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b/>
      <w:bCs/>
      <w:color w:val="000000"/>
      <w:sz w:val="18"/>
      <w:szCs w:val="18"/>
      <w:lang w:eastAsia="nl-BE"/>
    </w:rPr>
  </w:style>
  <w:style w:type="paragraph" w:customStyle="1" w:styleId="xl90">
    <w:name w:val="xl90"/>
    <w:basedOn w:val="Normal"/>
    <w:rsid w:val="0039673B"/>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1">
    <w:name w:val="xl91"/>
    <w:basedOn w:val="Normal"/>
    <w:rsid w:val="0039673B"/>
    <w:pPr>
      <w:pBdr>
        <w:top w:val="single" w:sz="4" w:space="0" w:color="auto"/>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2">
    <w:name w:val="xl92"/>
    <w:basedOn w:val="Normal"/>
    <w:rsid w:val="0039673B"/>
    <w:pPr>
      <w:pBdr>
        <w:top w:val="single" w:sz="4" w:space="0" w:color="auto"/>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3">
    <w:name w:val="xl93"/>
    <w:basedOn w:val="Normal"/>
    <w:rsid w:val="0039673B"/>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4">
    <w:name w:val="xl94"/>
    <w:basedOn w:val="Normal"/>
    <w:rsid w:val="0039673B"/>
    <w:pPr>
      <w:pBdr>
        <w:top w:val="single" w:sz="4" w:space="0" w:color="auto"/>
        <w:left w:val="single" w:sz="4" w:space="0" w:color="FFFFFF"/>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5">
    <w:name w:val="xl95"/>
    <w:basedOn w:val="Normal"/>
    <w:rsid w:val="00396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6">
    <w:name w:val="xl96"/>
    <w:basedOn w:val="Normal"/>
    <w:rsid w:val="0039673B"/>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18"/>
      <w:szCs w:val="18"/>
      <w:lang w:eastAsia="nl-BE"/>
    </w:rPr>
  </w:style>
  <w:style w:type="paragraph" w:customStyle="1" w:styleId="xl97">
    <w:name w:val="xl97"/>
    <w:basedOn w:val="Normal"/>
    <w:rsid w:val="0039673B"/>
    <w:pPr>
      <w:pBdr>
        <w:top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8">
    <w:name w:val="xl98"/>
    <w:basedOn w:val="Normal"/>
    <w:rsid w:val="0039673B"/>
    <w:pPr>
      <w:pBdr>
        <w:top w:val="single" w:sz="4" w:space="0" w:color="auto"/>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eastAsia="nl-BE"/>
    </w:rPr>
  </w:style>
  <w:style w:type="paragraph" w:customStyle="1" w:styleId="xl99">
    <w:name w:val="xl99"/>
    <w:basedOn w:val="Normal"/>
    <w:rsid w:val="0039673B"/>
    <w:pPr>
      <w:pBdr>
        <w:top w:val="single" w:sz="4" w:space="0" w:color="FFFFFF"/>
        <w:left w:val="single" w:sz="4" w:space="0" w:color="auto"/>
      </w:pBdr>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100">
    <w:name w:val="xl100"/>
    <w:basedOn w:val="Normal"/>
    <w:rsid w:val="0039673B"/>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01">
    <w:name w:val="xl101"/>
    <w:basedOn w:val="Normal"/>
    <w:rsid w:val="0039673B"/>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02">
    <w:name w:val="xl102"/>
    <w:basedOn w:val="Normal"/>
    <w:rsid w:val="0039673B"/>
    <w:pPr>
      <w:pBdr>
        <w:lef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03">
    <w:name w:val="xl103"/>
    <w:basedOn w:val="Normal"/>
    <w:rsid w:val="0039673B"/>
    <w:pPr>
      <w:pBdr>
        <w:left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04">
    <w:name w:val="xl104"/>
    <w:basedOn w:val="Normal"/>
    <w:rsid w:val="0039673B"/>
    <w:pPr>
      <w:pBdr>
        <w:top w:val="single" w:sz="4" w:space="0" w:color="auto"/>
      </w:pBdr>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105">
    <w:name w:val="xl105"/>
    <w:basedOn w:val="Normal"/>
    <w:rsid w:val="0039673B"/>
    <w:pPr>
      <w:pBdr>
        <w:left w:val="single" w:sz="4" w:space="0" w:color="auto"/>
        <w:bottom w:val="single" w:sz="4" w:space="0" w:color="auto"/>
        <w:right w:val="single" w:sz="4" w:space="0" w:color="auto"/>
      </w:pBdr>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106">
    <w:name w:val="xl106"/>
    <w:basedOn w:val="Normal"/>
    <w:rsid w:val="0039673B"/>
    <w:pPr>
      <w:pBdr>
        <w:top w:val="single" w:sz="4" w:space="0" w:color="FFFFFF"/>
        <w:left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eastAsia="nl-BE"/>
    </w:rPr>
  </w:style>
  <w:style w:type="paragraph" w:customStyle="1" w:styleId="xl107">
    <w:name w:val="xl107"/>
    <w:basedOn w:val="Normal"/>
    <w:rsid w:val="0039673B"/>
    <w:pPr>
      <w:pBdr>
        <w:top w:val="single" w:sz="4" w:space="0" w:color="FFFFFF"/>
        <w:left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08">
    <w:name w:val="xl108"/>
    <w:basedOn w:val="Normal"/>
    <w:rsid w:val="0039673B"/>
    <w:pPr>
      <w:pBdr>
        <w:top w:val="single" w:sz="4" w:space="0" w:color="FFFFFF"/>
        <w:left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09">
    <w:name w:val="xl109"/>
    <w:basedOn w:val="Normal"/>
    <w:rsid w:val="0039673B"/>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eastAsia="nl-BE"/>
    </w:rPr>
  </w:style>
  <w:style w:type="paragraph" w:customStyle="1" w:styleId="xl110">
    <w:name w:val="xl110"/>
    <w:basedOn w:val="Normal"/>
    <w:rsid w:val="0039673B"/>
    <w:pPr>
      <w:pBdr>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eastAsia="nl-BE"/>
    </w:rPr>
  </w:style>
  <w:style w:type="paragraph" w:customStyle="1" w:styleId="xl111">
    <w:name w:val="xl111"/>
    <w:basedOn w:val="Normal"/>
    <w:rsid w:val="0039673B"/>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12">
    <w:name w:val="xl112"/>
    <w:basedOn w:val="Normal"/>
    <w:rsid w:val="0039673B"/>
    <w:pPr>
      <w:pBdr>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13">
    <w:name w:val="xl113"/>
    <w:basedOn w:val="Normal"/>
    <w:rsid w:val="0039673B"/>
    <w:pPr>
      <w:pBdr>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14">
    <w:name w:val="xl114"/>
    <w:basedOn w:val="Normal"/>
    <w:rsid w:val="0039673B"/>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15">
    <w:name w:val="xl115"/>
    <w:basedOn w:val="Normal"/>
    <w:rsid w:val="0039673B"/>
    <w:pPr>
      <w:pBdr>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eastAsia="nl-BE"/>
    </w:rPr>
  </w:style>
  <w:style w:type="paragraph" w:customStyle="1" w:styleId="xl116">
    <w:name w:val="xl116"/>
    <w:basedOn w:val="Normal"/>
    <w:rsid w:val="0039673B"/>
    <w:pP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eastAsia="nl-BE"/>
    </w:rPr>
  </w:style>
  <w:style w:type="paragraph" w:customStyle="1" w:styleId="xl117">
    <w:name w:val="xl117"/>
    <w:basedOn w:val="Normal"/>
    <w:rsid w:val="0039673B"/>
    <w:pPr>
      <w:pBdr>
        <w:top w:val="single" w:sz="4" w:space="0" w:color="auto"/>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eastAsia="nl-BE"/>
    </w:rPr>
  </w:style>
  <w:style w:type="paragraph" w:customStyle="1" w:styleId="xl118">
    <w:name w:val="xl118"/>
    <w:basedOn w:val="Normal"/>
    <w:rsid w:val="0039673B"/>
    <w:pPr>
      <w:pBdr>
        <w:top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eastAsia="nl-BE"/>
    </w:rPr>
  </w:style>
  <w:style w:type="paragraph" w:customStyle="1" w:styleId="xl119">
    <w:name w:val="xl119"/>
    <w:basedOn w:val="Normal"/>
    <w:rsid w:val="0039673B"/>
    <w:pPr>
      <w:pBdr>
        <w:top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eastAsia="nl-BE"/>
    </w:rPr>
  </w:style>
  <w:style w:type="paragraph" w:customStyle="1" w:styleId="xl120">
    <w:name w:val="xl120"/>
    <w:basedOn w:val="Normal"/>
    <w:rsid w:val="003967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eastAsia="nl-BE"/>
    </w:rPr>
  </w:style>
  <w:style w:type="paragraph" w:customStyle="1" w:styleId="xl121">
    <w:name w:val="xl121"/>
    <w:basedOn w:val="Normal"/>
    <w:rsid w:val="0039673B"/>
    <w:pPr>
      <w:pBdr>
        <w:top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eastAsia="nl-BE"/>
    </w:rPr>
  </w:style>
  <w:style w:type="paragraph" w:customStyle="1" w:styleId="xl122">
    <w:name w:val="xl122"/>
    <w:basedOn w:val="Normal"/>
    <w:rsid w:val="003967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eastAsia="nl-BE"/>
    </w:rPr>
  </w:style>
  <w:style w:type="paragraph" w:customStyle="1" w:styleId="xl65">
    <w:name w:val="xl65"/>
    <w:basedOn w:val="Normal"/>
    <w:rsid w:val="0039673B"/>
    <w:pPr>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customStyle="1" w:styleId="xl66">
    <w:name w:val="xl66"/>
    <w:basedOn w:val="Normal"/>
    <w:rsid w:val="0039673B"/>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eastAsia="nl-BE"/>
    </w:rPr>
  </w:style>
  <w:style w:type="paragraph" w:styleId="Revision">
    <w:name w:val="Revision"/>
    <w:hidden/>
    <w:uiPriority w:val="99"/>
    <w:semiHidden/>
    <w:rsid w:val="0039673B"/>
    <w:pPr>
      <w:spacing w:after="0" w:line="240" w:lineRule="auto"/>
    </w:pPr>
    <w:rPr>
      <w:rFonts w:ascii="Times New Roman" w:eastAsia="Times New Roman" w:hAnsi="Times New Roman" w:cs="Times New Roman"/>
      <w:noProof/>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FilipD\AppData\Local\Microsoft\Windows\INetCache\Content.Outlook\QGRGCV4L\Grafiek%20meubelhandel8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45482875652056E-2"/>
          <c:y val="9.8173009229295963E-2"/>
          <c:w val="0.92939878491376426"/>
          <c:h val="0.7224937967526025"/>
        </c:manualLayout>
      </c:layout>
      <c:barChart>
        <c:barDir val="col"/>
        <c:grouping val="clustered"/>
        <c:varyColors val="0"/>
        <c:ser>
          <c:idx val="1"/>
          <c:order val="0"/>
          <c:tx>
            <c:strRef>
              <c:f>Feuil1!$A$3</c:f>
              <c:strCache>
                <c:ptCount val="1"/>
                <c:pt idx="0">
                  <c:v>Industrie de l’ameublement</c:v>
                </c:pt>
              </c:strCache>
            </c:strRef>
          </c:tx>
          <c:spPr>
            <a:solidFill>
              <a:srgbClr val="FFC000"/>
            </a:solidFill>
            <a:ln>
              <a:noFill/>
            </a:ln>
            <a:effectLst/>
          </c:spPr>
          <c:invertIfNegative val="0"/>
          <c:dLbls>
            <c:dLbl>
              <c:idx val="8"/>
              <c:layout>
                <c:manualLayout>
                  <c:x val="-8.3745982607144334E-17"/>
                  <c:y val="3.11430447110620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2">
                          <a:lumMod val="50000"/>
                        </a:schemeClr>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2.8470156336732159E-2"/>
                      <c:h val="0.11463563474938876"/>
                    </c:manualLayout>
                  </c15:layout>
                </c:ext>
                <c:ext xmlns:c16="http://schemas.microsoft.com/office/drawing/2014/chart" uri="{C3380CC4-5D6E-409C-BE32-E72D297353CC}">
                  <c16:uniqueId val="{00000000-5ADE-4054-8DCF-F43CCA6606EF}"/>
                </c:ext>
              </c:extLst>
            </c:dLbl>
            <c:dLbl>
              <c:idx val="13"/>
              <c:layout>
                <c:manualLayout>
                  <c:x val="-3.54282131878315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DE-4054-8DCF-F43CCA6606EF}"/>
                </c:ext>
              </c:extLst>
            </c:dLbl>
            <c:dLbl>
              <c:idx val="15"/>
              <c:layout>
                <c:manualLayout>
                  <c:x val="2.2840077285785926E-3"/>
                  <c:y val="-8.0081581159264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DE-4054-8DCF-F43CCA6606E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Feuil1!$B$1:$T$1</c:f>
              <c:strCache>
                <c:ptCount val="19"/>
                <c:pt idx="0">
                  <c:v>2005 </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6 m 2023</c:v>
                </c:pt>
              </c:strCache>
            </c:strRef>
          </c:cat>
          <c:val>
            <c:numRef>
              <c:f>Feuil1!$B$3:$T$3</c:f>
              <c:numCache>
                <c:formatCode>0.0\ </c:formatCode>
                <c:ptCount val="19"/>
                <c:pt idx="0" formatCode="0.0_)">
                  <c:v>2.2999999999999998</c:v>
                </c:pt>
                <c:pt idx="1">
                  <c:v>0.2</c:v>
                </c:pt>
                <c:pt idx="2">
                  <c:v>3.8</c:v>
                </c:pt>
                <c:pt idx="3">
                  <c:v>-4.8</c:v>
                </c:pt>
                <c:pt idx="4">
                  <c:v>-13</c:v>
                </c:pt>
                <c:pt idx="5">
                  <c:v>0.5</c:v>
                </c:pt>
                <c:pt idx="6">
                  <c:v>4.7</c:v>
                </c:pt>
                <c:pt idx="7" formatCode="0.0">
                  <c:v>4.5999999999999996</c:v>
                </c:pt>
                <c:pt idx="8" formatCode="0.0">
                  <c:v>-4.4000000000000004</c:v>
                </c:pt>
                <c:pt idx="9" formatCode="0.0">
                  <c:v>-2.9</c:v>
                </c:pt>
                <c:pt idx="10" formatCode="0.0">
                  <c:v>-1.3</c:v>
                </c:pt>
                <c:pt idx="11" formatCode="#,##0.0_);\(#,##0.0\)">
                  <c:v>2.1</c:v>
                </c:pt>
                <c:pt idx="12" formatCode="#,##0.0">
                  <c:v>-7.3</c:v>
                </c:pt>
                <c:pt idx="13" formatCode="#,##0.0">
                  <c:v>-1.4</c:v>
                </c:pt>
                <c:pt idx="14" formatCode="General">
                  <c:v>0.3</c:v>
                </c:pt>
                <c:pt idx="15" formatCode="General">
                  <c:v>-1.2</c:v>
                </c:pt>
                <c:pt idx="16" formatCode="General">
                  <c:v>9.9</c:v>
                </c:pt>
                <c:pt idx="17" formatCode="General">
                  <c:v>-0.4</c:v>
                </c:pt>
                <c:pt idx="18" formatCode="General">
                  <c:v>-5.6</c:v>
                </c:pt>
              </c:numCache>
            </c:numRef>
          </c:val>
          <c:extLst>
            <c:ext xmlns:c16="http://schemas.microsoft.com/office/drawing/2014/chart" uri="{C3380CC4-5D6E-409C-BE32-E72D297353CC}">
              <c16:uniqueId val="{00000003-5ADE-4054-8DCF-F43CCA6606EF}"/>
            </c:ext>
          </c:extLst>
        </c:ser>
        <c:dLbls>
          <c:showLegendKey val="0"/>
          <c:showVal val="0"/>
          <c:showCatName val="0"/>
          <c:showSerName val="0"/>
          <c:showPercent val="0"/>
          <c:showBubbleSize val="0"/>
        </c:dLbls>
        <c:gapWidth val="80"/>
        <c:axId val="716666104"/>
        <c:axId val="716665120"/>
      </c:barChart>
      <c:catAx>
        <c:axId val="7166661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16665120"/>
        <c:crosses val="autoZero"/>
        <c:auto val="1"/>
        <c:lblAlgn val="ctr"/>
        <c:lblOffset val="100"/>
        <c:noMultiLvlLbl val="0"/>
      </c:catAx>
      <c:valAx>
        <c:axId val="71666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6666104"/>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prstDash val="solid"/>
            </a:ln>
          </c:spPr>
          <c:marker>
            <c:symbol val="circle"/>
            <c:size val="2"/>
          </c:marker>
          <c:dLbls>
            <c:numFmt formatCode="#,##0.0" sourceLinked="0"/>
            <c:spPr>
              <a:noFill/>
              <a:ln>
                <a:noFill/>
              </a:ln>
              <a:effectLst/>
            </c:spPr>
            <c:txPr>
              <a:bodyPr wrap="square" lIns="38100" tIns="19050" rIns="38100" bIns="19050" anchor="ctr">
                <a:spAutoFit/>
              </a:bodyPr>
              <a:lstStyle/>
              <a:p>
                <a:pPr>
                  <a:defRPr sz="800" b="1"/>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PRODKAP!$A$58:$A$89</c:f>
              <c:strCache>
                <c:ptCount val="32"/>
                <c:pt idx="0">
                  <c:v>III/15</c:v>
                </c:pt>
                <c:pt idx="1">
                  <c:v>IV/15</c:v>
                </c:pt>
                <c:pt idx="2">
                  <c:v>I/16</c:v>
                </c:pt>
                <c:pt idx="3">
                  <c:v>II/16</c:v>
                </c:pt>
                <c:pt idx="4">
                  <c:v>III/16</c:v>
                </c:pt>
                <c:pt idx="5">
                  <c:v>IV/16</c:v>
                </c:pt>
                <c:pt idx="6">
                  <c:v>I/17</c:v>
                </c:pt>
                <c:pt idx="7">
                  <c:v>II/17</c:v>
                </c:pt>
                <c:pt idx="8">
                  <c:v>III/17</c:v>
                </c:pt>
                <c:pt idx="9">
                  <c:v>IV/17</c:v>
                </c:pt>
                <c:pt idx="10">
                  <c:v>I/18</c:v>
                </c:pt>
                <c:pt idx="11">
                  <c:v>II/18</c:v>
                </c:pt>
                <c:pt idx="12">
                  <c:v>III/18</c:v>
                </c:pt>
                <c:pt idx="13">
                  <c:v>IV/18</c:v>
                </c:pt>
                <c:pt idx="14">
                  <c:v>I/19</c:v>
                </c:pt>
                <c:pt idx="15">
                  <c:v>II/19</c:v>
                </c:pt>
                <c:pt idx="16">
                  <c:v>III/19</c:v>
                </c:pt>
                <c:pt idx="17">
                  <c:v>IV/19</c:v>
                </c:pt>
                <c:pt idx="18">
                  <c:v>I/20</c:v>
                </c:pt>
                <c:pt idx="19">
                  <c:v>II/20</c:v>
                </c:pt>
                <c:pt idx="20">
                  <c:v>III/20</c:v>
                </c:pt>
                <c:pt idx="21">
                  <c:v>IV/20</c:v>
                </c:pt>
                <c:pt idx="22">
                  <c:v>I/21</c:v>
                </c:pt>
                <c:pt idx="23">
                  <c:v>II/21</c:v>
                </c:pt>
                <c:pt idx="24">
                  <c:v>III/21</c:v>
                </c:pt>
                <c:pt idx="25">
                  <c:v>IV/21</c:v>
                </c:pt>
                <c:pt idx="26">
                  <c:v>I/22</c:v>
                </c:pt>
                <c:pt idx="27">
                  <c:v>II/22</c:v>
                </c:pt>
                <c:pt idx="28">
                  <c:v>III/22</c:v>
                </c:pt>
                <c:pt idx="29">
                  <c:v>IV/22</c:v>
                </c:pt>
                <c:pt idx="30">
                  <c:v>I/23</c:v>
                </c:pt>
                <c:pt idx="31">
                  <c:v>II/23</c:v>
                </c:pt>
              </c:strCache>
            </c:strRef>
          </c:cat>
          <c:val>
            <c:numRef>
              <c:f>PRODKAP!$B$58:$B$89</c:f>
              <c:numCache>
                <c:formatCode>0.0</c:formatCode>
                <c:ptCount val="32"/>
                <c:pt idx="0">
                  <c:v>82.5</c:v>
                </c:pt>
                <c:pt idx="1">
                  <c:v>82.88</c:v>
                </c:pt>
                <c:pt idx="2">
                  <c:v>81.2</c:v>
                </c:pt>
                <c:pt idx="3">
                  <c:v>80.099999999999994</c:v>
                </c:pt>
                <c:pt idx="4">
                  <c:v>80.8</c:v>
                </c:pt>
                <c:pt idx="5">
                  <c:v>80.3</c:v>
                </c:pt>
                <c:pt idx="6" formatCode="0.00">
                  <c:v>82.5</c:v>
                </c:pt>
                <c:pt idx="7" formatCode="0.00">
                  <c:v>80.3</c:v>
                </c:pt>
                <c:pt idx="8" formatCode="0.00">
                  <c:v>79</c:v>
                </c:pt>
                <c:pt idx="9" formatCode="0.00">
                  <c:v>75</c:v>
                </c:pt>
                <c:pt idx="10" formatCode="0.00">
                  <c:v>80.900000000000006</c:v>
                </c:pt>
                <c:pt idx="11" formatCode="0.00">
                  <c:v>79.900000000000006</c:v>
                </c:pt>
                <c:pt idx="12" formatCode="0.00">
                  <c:v>82</c:v>
                </c:pt>
                <c:pt idx="13" formatCode="0.00">
                  <c:v>81.5</c:v>
                </c:pt>
                <c:pt idx="14" formatCode="0.00">
                  <c:v>79</c:v>
                </c:pt>
                <c:pt idx="15" formatCode="0.00">
                  <c:v>80.7</c:v>
                </c:pt>
                <c:pt idx="16" formatCode="0.00">
                  <c:v>81.5</c:v>
                </c:pt>
                <c:pt idx="17" formatCode="0.00">
                  <c:v>83.2</c:v>
                </c:pt>
                <c:pt idx="18" formatCode="0.00">
                  <c:v>82</c:v>
                </c:pt>
                <c:pt idx="19" formatCode="0.00">
                  <c:v>84</c:v>
                </c:pt>
                <c:pt idx="20" formatCode="0.00">
                  <c:v>86</c:v>
                </c:pt>
                <c:pt idx="21" formatCode="0.00">
                  <c:v>83.3</c:v>
                </c:pt>
                <c:pt idx="22" formatCode="0.00">
                  <c:v>86.5</c:v>
                </c:pt>
                <c:pt idx="23" formatCode="0.00">
                  <c:v>87.5</c:v>
                </c:pt>
                <c:pt idx="24" formatCode="0.00">
                  <c:v>85.9</c:v>
                </c:pt>
                <c:pt idx="25" formatCode="0.00">
                  <c:v>86.2</c:v>
                </c:pt>
                <c:pt idx="26" formatCode="0.00">
                  <c:v>83.4</c:v>
                </c:pt>
                <c:pt idx="27" formatCode="0.00">
                  <c:v>89</c:v>
                </c:pt>
                <c:pt idx="28" formatCode="0.00">
                  <c:v>80.2</c:v>
                </c:pt>
                <c:pt idx="29" formatCode="0.00">
                  <c:v>76.5</c:v>
                </c:pt>
                <c:pt idx="30" formatCode="0.00">
                  <c:v>75.900000000000006</c:v>
                </c:pt>
                <c:pt idx="31" formatCode="0.00">
                  <c:v>72.5</c:v>
                </c:pt>
              </c:numCache>
            </c:numRef>
          </c:val>
          <c:smooth val="0"/>
          <c:extLst>
            <c:ext xmlns:c16="http://schemas.microsoft.com/office/drawing/2014/chart" uri="{C3380CC4-5D6E-409C-BE32-E72D297353CC}">
              <c16:uniqueId val="{00000000-8BFD-4261-B2DB-10880F233516}"/>
            </c:ext>
          </c:extLst>
        </c:ser>
        <c:dLbls>
          <c:dLblPos val="t"/>
          <c:showLegendKey val="0"/>
          <c:showVal val="1"/>
          <c:showCatName val="0"/>
          <c:showSerName val="0"/>
          <c:showPercent val="0"/>
          <c:showBubbleSize val="0"/>
        </c:dLbls>
        <c:marker val="1"/>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prstDash val="solid"/>
          </a:ln>
        </c:spPr>
        <c:txPr>
          <a:bodyPr rot="0" vert="horz"/>
          <a:lstStyle/>
          <a:p>
            <a:pPr>
              <a:defRPr sz="500"/>
            </a:pPr>
            <a:endParaRPr lang="fr-FR"/>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rtl="0">
                  <a:defRPr/>
                </a:pPr>
                <a:r>
                  <a:rPr lang="fr-BE"/>
                  <a:t>en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prstDash val="solid"/>
          </a:ln>
        </c:spPr>
        <c:txPr>
          <a:bodyPr rot="0" vert="horz"/>
          <a:lstStyle/>
          <a:p>
            <a:pPr>
              <a:defRPr/>
            </a:pPr>
            <a:endParaRPr lang="fr-FR"/>
          </a:p>
        </c:txPr>
        <c:crossAx val="301009920"/>
        <c:crosses val="autoZero"/>
        <c:crossBetween val="between"/>
      </c:valAx>
      <c:spPr>
        <a:noFill/>
        <a:ln w="1963">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0">
              <a:defRPr/>
            </a:pPr>
            <a:r>
              <a:rPr lang="fr-BE" sz="1100"/>
              <a:t>Evolution des commandes reçues dans le commerce de l'ameublement </a:t>
            </a:r>
          </a:p>
          <a:p>
            <a:pPr rtl="0">
              <a:defRPr/>
            </a:pPr>
            <a:r>
              <a:rPr lang="fr-BE" sz="1100"/>
              <a:t>(cumul 8 M 2023 = +11,3 %)</a:t>
            </a:r>
          </a:p>
        </c:rich>
      </c:tx>
      <c:layout>
        <c:manualLayout>
          <c:xMode val="edge"/>
          <c:yMode val="edge"/>
          <c:x val="0.33856792043867406"/>
          <c:y val="1.6869095816464237E-2"/>
        </c:manualLayout>
      </c:layout>
      <c:overlay val="0"/>
    </c:title>
    <c:autoTitleDeleted val="0"/>
    <c:plotArea>
      <c:layout>
        <c:manualLayout>
          <c:layoutTarget val="inner"/>
          <c:xMode val="edge"/>
          <c:yMode val="edge"/>
          <c:x val="0.10127624671916011"/>
          <c:y val="0.10997929290903849"/>
          <c:w val="0.89872371780879601"/>
          <c:h val="0.8518778725580628"/>
        </c:manualLayout>
      </c:layout>
      <c:barChart>
        <c:barDir val="col"/>
        <c:grouping val="clustered"/>
        <c:varyColors val="0"/>
        <c:ser>
          <c:idx val="0"/>
          <c:order val="0"/>
          <c:spPr>
            <a:solidFill>
              <a:srgbClr val="FFC000"/>
            </a:solidFill>
            <a:ln w="25400">
              <a:noFill/>
            </a:ln>
          </c:spPr>
          <c:invertIfNegative val="0"/>
          <c:dLbls>
            <c:numFmt formatCode="#,##0.0" sourceLinked="0"/>
            <c:spPr>
              <a:noFill/>
              <a:ln w="25400">
                <a:noFill/>
              </a:ln>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Blad1!$A$6:$A$37</c:f>
              <c:strCache>
                <c:ptCount val="32"/>
                <c:pt idx="0">
                  <c:v>J 2021</c:v>
                </c:pt>
                <c:pt idx="1">
                  <c:v>F</c:v>
                </c:pt>
                <c:pt idx="2">
                  <c:v>M</c:v>
                </c:pt>
                <c:pt idx="3">
                  <c:v>A</c:v>
                </c:pt>
                <c:pt idx="4">
                  <c:v>M</c:v>
                </c:pt>
                <c:pt idx="5">
                  <c:v>J</c:v>
                </c:pt>
                <c:pt idx="6">
                  <c:v>J</c:v>
                </c:pt>
                <c:pt idx="7">
                  <c:v>A</c:v>
                </c:pt>
                <c:pt idx="8">
                  <c:v>S</c:v>
                </c:pt>
                <c:pt idx="9">
                  <c:v>O</c:v>
                </c:pt>
                <c:pt idx="10">
                  <c:v>N</c:v>
                </c:pt>
                <c:pt idx="11">
                  <c:v>D</c:v>
                </c:pt>
                <c:pt idx="12">
                  <c:v>J 2022</c:v>
                </c:pt>
                <c:pt idx="13">
                  <c:v>F</c:v>
                </c:pt>
                <c:pt idx="14">
                  <c:v>M</c:v>
                </c:pt>
                <c:pt idx="15">
                  <c:v>A</c:v>
                </c:pt>
                <c:pt idx="16">
                  <c:v>M</c:v>
                </c:pt>
                <c:pt idx="17">
                  <c:v>J</c:v>
                </c:pt>
                <c:pt idx="18">
                  <c:v>J</c:v>
                </c:pt>
                <c:pt idx="19">
                  <c:v>A</c:v>
                </c:pt>
                <c:pt idx="20">
                  <c:v>S</c:v>
                </c:pt>
                <c:pt idx="21">
                  <c:v>O</c:v>
                </c:pt>
                <c:pt idx="22">
                  <c:v>N</c:v>
                </c:pt>
                <c:pt idx="23">
                  <c:v>D</c:v>
                </c:pt>
                <c:pt idx="24">
                  <c:v>J 2023</c:v>
                </c:pt>
                <c:pt idx="25">
                  <c:v>F</c:v>
                </c:pt>
                <c:pt idx="26">
                  <c:v>M</c:v>
                </c:pt>
                <c:pt idx="27">
                  <c:v>A</c:v>
                </c:pt>
                <c:pt idx="28">
                  <c:v>M</c:v>
                </c:pt>
                <c:pt idx="29">
                  <c:v>J</c:v>
                </c:pt>
                <c:pt idx="30">
                  <c:v>J</c:v>
                </c:pt>
                <c:pt idx="31">
                  <c:v>A</c:v>
                </c:pt>
              </c:strCache>
            </c:strRef>
          </c:cat>
          <c:val>
            <c:numRef>
              <c:f>Blad1!$B$6:$B$37</c:f>
              <c:numCache>
                <c:formatCode>0.0</c:formatCode>
                <c:ptCount val="32"/>
                <c:pt idx="0">
                  <c:v>-1</c:v>
                </c:pt>
                <c:pt idx="1">
                  <c:v>1</c:v>
                </c:pt>
                <c:pt idx="2">
                  <c:v>114.4</c:v>
                </c:pt>
                <c:pt idx="3">
                  <c:v>383.1</c:v>
                </c:pt>
                <c:pt idx="4">
                  <c:v>23.6</c:v>
                </c:pt>
                <c:pt idx="5">
                  <c:v>-22.1</c:v>
                </c:pt>
                <c:pt idx="6">
                  <c:v>8.8000000000000007</c:v>
                </c:pt>
                <c:pt idx="7">
                  <c:v>-7.8</c:v>
                </c:pt>
                <c:pt idx="8">
                  <c:v>-11.4</c:v>
                </c:pt>
                <c:pt idx="9">
                  <c:v>-13</c:v>
                </c:pt>
                <c:pt idx="10">
                  <c:v>108.3</c:v>
                </c:pt>
                <c:pt idx="11">
                  <c:v>4.9000000000000004</c:v>
                </c:pt>
                <c:pt idx="12">
                  <c:v>6.1</c:v>
                </c:pt>
                <c:pt idx="13">
                  <c:v>-12</c:v>
                </c:pt>
                <c:pt idx="14">
                  <c:v>-14.4</c:v>
                </c:pt>
                <c:pt idx="15">
                  <c:v>19.100000000000001</c:v>
                </c:pt>
                <c:pt idx="16">
                  <c:v>-14.8</c:v>
                </c:pt>
                <c:pt idx="17">
                  <c:v>0.1</c:v>
                </c:pt>
                <c:pt idx="18">
                  <c:v>-10</c:v>
                </c:pt>
                <c:pt idx="19">
                  <c:v>-2.8</c:v>
                </c:pt>
                <c:pt idx="20">
                  <c:v>18.399999999999999</c:v>
                </c:pt>
                <c:pt idx="21">
                  <c:v>7.4</c:v>
                </c:pt>
                <c:pt idx="22">
                  <c:v>-6.3</c:v>
                </c:pt>
                <c:pt idx="23">
                  <c:v>11.9</c:v>
                </c:pt>
                <c:pt idx="24">
                  <c:v>4.7</c:v>
                </c:pt>
                <c:pt idx="25">
                  <c:v>14.2</c:v>
                </c:pt>
                <c:pt idx="26">
                  <c:v>24.6</c:v>
                </c:pt>
                <c:pt idx="27">
                  <c:v>9.1</c:v>
                </c:pt>
                <c:pt idx="28">
                  <c:v>6.8</c:v>
                </c:pt>
                <c:pt idx="29">
                  <c:v>0.7</c:v>
                </c:pt>
                <c:pt idx="30">
                  <c:v>19.899999999999999</c:v>
                </c:pt>
                <c:pt idx="31">
                  <c:v>11.2</c:v>
                </c:pt>
              </c:numCache>
            </c:numRef>
          </c:val>
          <c:extLst>
            <c:ext xmlns:c16="http://schemas.microsoft.com/office/drawing/2014/chart" uri="{C3380CC4-5D6E-409C-BE32-E72D297353CC}">
              <c16:uniqueId val="{00000000-8A9F-4A0E-AA26-DD76C665CCA0}"/>
            </c:ext>
          </c:extLst>
        </c:ser>
        <c:dLbls>
          <c:showLegendKey val="0"/>
          <c:showVal val="0"/>
          <c:showCatName val="0"/>
          <c:showSerName val="0"/>
          <c:showPercent val="0"/>
          <c:showBubbleSize val="0"/>
        </c:dLbls>
        <c:gapWidth val="219"/>
        <c:overlap val="-27"/>
        <c:axId val="2038202928"/>
        <c:axId val="1"/>
      </c:barChart>
      <c:catAx>
        <c:axId val="203820292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fr-F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rtl="0">
                  <a:defRPr/>
                </a:pPr>
                <a:r>
                  <a:rPr lang="fr-BE"/>
                  <a:t>en %</a:t>
                </a:r>
              </a:p>
            </c:rich>
          </c:tx>
          <c:overlay val="0"/>
        </c:title>
        <c:numFmt formatCode="0" sourceLinked="0"/>
        <c:majorTickMark val="out"/>
        <c:minorTickMark val="none"/>
        <c:tickLblPos val="nextTo"/>
        <c:spPr>
          <a:ln w="9525">
            <a:noFill/>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20382029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0.39164</cdr:x>
      <cdr:y>0.36201</cdr:y>
    </cdr:from>
    <cdr:to>
      <cdr:x>0.40825</cdr:x>
      <cdr:y>0.51296</cdr:y>
    </cdr:to>
    <cdr:sp macro="" textlink="">
      <cdr:nvSpPr>
        <cdr:cNvPr id="2" name="ZoneTexte 3">
          <a:extLst xmlns:a="http://schemas.openxmlformats.org/drawingml/2006/main">
            <a:ext uri="{FF2B5EF4-FFF2-40B4-BE49-F238E27FC236}">
              <a16:creationId xmlns:a16="http://schemas.microsoft.com/office/drawing/2014/main" id="{2CD5FDB1-5878-4319-8154-C548E49BC367}"/>
            </a:ext>
          </a:extLst>
        </cdr:cNvPr>
        <cdr:cNvSpPr txBox="1"/>
      </cdr:nvSpPr>
      <cdr:spPr>
        <a:xfrm xmlns:a="http://schemas.openxmlformats.org/drawingml/2006/main">
          <a:off x="4355351" y="1550080"/>
          <a:ext cx="184731" cy="646331"/>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fr-BE" sz="3600" dirty="0">
            <a:highlight>
              <a:srgbClr val="FFFF00"/>
            </a:highlight>
          </a:endParaRPr>
        </a:p>
      </cdr:txBody>
    </cdr:sp>
  </cdr:relSizeAnchor>
  <cdr:relSizeAnchor xmlns:cdr="http://schemas.openxmlformats.org/drawingml/2006/chartDrawing">
    <cdr:from>
      <cdr:x>0</cdr:x>
      <cdr:y>0.00365</cdr:y>
    </cdr:from>
    <cdr:to>
      <cdr:x>0.06338</cdr:x>
      <cdr:y>0.09658</cdr:y>
    </cdr:to>
    <cdr:sp macro="" textlink="">
      <cdr:nvSpPr>
        <cdr:cNvPr id="3" name="ZoneTexte 13">
          <a:extLst xmlns:a="http://schemas.openxmlformats.org/drawingml/2006/main">
            <a:ext uri="{FF2B5EF4-FFF2-40B4-BE49-F238E27FC236}">
              <a16:creationId xmlns:a16="http://schemas.microsoft.com/office/drawing/2014/main" id="{4BE815A8-3EB5-4D0F-9A2E-12355DF5FA89}"/>
            </a:ext>
          </a:extLst>
        </cdr:cNvPr>
        <cdr:cNvSpPr txBox="1"/>
      </cdr:nvSpPr>
      <cdr:spPr>
        <a:xfrm xmlns:a="http://schemas.openxmlformats.org/drawingml/2006/main">
          <a:off x="-903180" y="8996"/>
          <a:ext cx="365100" cy="22900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l" defTabSz="914400" rtl="0" eaLnBrk="1" fontAlgn="auto" latinLnBrk="0" hangingPunct="1">
            <a:lnSpc>
              <a:spcPct val="100000"/>
            </a:lnSpc>
            <a:spcBef>
              <a:spcPts val="0"/>
            </a:spcBef>
            <a:spcAft>
              <a:spcPts val="0"/>
            </a:spcAft>
            <a:buClrTx/>
            <a:buSzTx/>
            <a:buFontTx/>
            <a:buNone/>
            <a:tabLst/>
            <a:defRPr/>
          </a:pPr>
          <a:r>
            <a:rPr kumimoji="0" lang="fr-BE" sz="800" b="1" i="0" u="none" strike="noStrike" kern="1200" cap="none" spc="0" normalizeH="0" baseline="0">
              <a:ln>
                <a:noFill/>
              </a:ln>
              <a:solidFill>
                <a:prstClr val="black"/>
              </a:solidFill>
              <a:effectLst/>
              <a:uLnTx/>
              <a:uFillTx/>
              <a:latin typeface="Calibri" panose="020F0502020204030204"/>
              <a:ea typeface="+mn-ea"/>
              <a:cs typeface="+mn-cs"/>
            </a:rPr>
            <a:t>En %</a:t>
          </a:r>
        </a:p>
      </cdr:txBody>
    </cdr:sp>
  </cdr:relSizeAnchor>
  <cdr:relSizeAnchor xmlns:cdr="http://schemas.openxmlformats.org/drawingml/2006/chartDrawing">
    <cdr:from>
      <cdr:x>0</cdr:x>
      <cdr:y>0</cdr:y>
    </cdr:from>
    <cdr:to>
      <cdr:x>1</cdr:x>
      <cdr:y>0.1137</cdr:y>
    </cdr:to>
    <cdr:sp macro="" textlink="">
      <cdr:nvSpPr>
        <cdr:cNvPr id="4" name="ZoneTexte 11"/>
        <cdr:cNvSpPr txBox="1"/>
      </cdr:nvSpPr>
      <cdr:spPr>
        <a:xfrm xmlns:a="http://schemas.openxmlformats.org/drawingml/2006/main">
          <a:off x="0" y="0"/>
          <a:ext cx="5760085"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kumimoji="0" lang="fr-BE" sz="1200" b="1" i="0" u="none" strike="noStrike" kern="1200" cap="none" spc="0" normalizeH="0" baseline="0">
              <a:ln>
                <a:noFill/>
              </a:ln>
              <a:solidFill>
                <a:srgbClr val="3E3F2C"/>
              </a:solidFill>
              <a:effectLst/>
              <a:uLnTx/>
              <a:uFillTx/>
              <a:latin typeface="Calibri" panose="020F0502020204030204"/>
              <a:ea typeface="+mn-ea"/>
              <a:cs typeface="+mn-cs"/>
            </a:rPr>
            <a:t>Taux de croissance du chiffre d'affaires de l'industrie belge de l'ameublement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4574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Gustot</dc:creator>
  <cp:lastModifiedBy>Thomas Hibert</cp:lastModifiedBy>
  <cp:revision>6</cp:revision>
  <dcterms:created xsi:type="dcterms:W3CDTF">2023-11-04T08:01:00Z</dcterms:created>
  <dcterms:modified xsi:type="dcterms:W3CDTF">2023-11-06T08:17:00Z</dcterms:modified>
</cp:coreProperties>
</file>