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4B98" w14:textId="0CAB8C08" w:rsidR="00536AE5" w:rsidRDefault="00536AE5">
      <w:pPr>
        <w:rPr>
          <w:lang w:val="en-US"/>
        </w:rPr>
      </w:pPr>
      <w:r>
        <w:rPr>
          <w:noProof/>
          <w:lang w:eastAsia="fr-BE"/>
        </w:rPr>
        <w:drawing>
          <wp:inline distT="0" distB="0" distL="0" distR="0" wp14:anchorId="2C27D291" wp14:editId="3810C554">
            <wp:extent cx="5731510" cy="955040"/>
            <wp:effectExtent l="0" t="0" r="254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259F50E1" w14:textId="77777777" w:rsidR="00536AE5" w:rsidRDefault="00536AE5">
      <w:pPr>
        <w:rPr>
          <w:lang w:val="en-US"/>
        </w:rPr>
      </w:pPr>
    </w:p>
    <w:p w14:paraId="29DB1FA0" w14:textId="0B0911F1" w:rsidR="00735310" w:rsidRPr="004C78C0" w:rsidRDefault="004C78C0">
      <w:r w:rsidRPr="004C78C0">
        <w:t>Bonjour à tous</w:t>
      </w:r>
      <w:r w:rsidR="00735310" w:rsidRPr="004C78C0">
        <w:t>,</w:t>
      </w:r>
    </w:p>
    <w:p w14:paraId="2A284776" w14:textId="664A526E" w:rsidR="00735310" w:rsidRPr="004C78C0" w:rsidRDefault="00735310"/>
    <w:p w14:paraId="4C493AA0" w14:textId="50D54CD3" w:rsidR="00735310" w:rsidRPr="004C78C0" w:rsidRDefault="004C78C0">
      <w:r w:rsidRPr="004C78C0">
        <w:t>Merci d'être</w:t>
      </w:r>
      <w:r>
        <w:t xml:space="preserve"> venu</w:t>
      </w:r>
      <w:r w:rsidR="00654255">
        <w:t>s</w:t>
      </w:r>
      <w:r w:rsidRPr="004C78C0">
        <w:t xml:space="preserve"> si nombreux et surtout</w:t>
      </w:r>
      <w:r>
        <w:t> :</w:t>
      </w:r>
      <w:r w:rsidRPr="004C78C0">
        <w:t xml:space="preserve"> bienvenu</w:t>
      </w:r>
      <w:r w:rsidR="00654255">
        <w:t>s</w:t>
      </w:r>
      <w:r w:rsidRPr="004C78C0">
        <w:t xml:space="preserve"> </w:t>
      </w:r>
      <w:r>
        <w:t>au Salon du Meuble de Bruxelles !</w:t>
      </w:r>
    </w:p>
    <w:p w14:paraId="098E4A76" w14:textId="32CB50B5" w:rsidR="00735310" w:rsidRPr="004C78C0" w:rsidRDefault="00735310"/>
    <w:p w14:paraId="3CE4004D" w14:textId="2C633829" w:rsidR="00735310" w:rsidRPr="004C78C0" w:rsidRDefault="004C78C0">
      <w:r w:rsidRPr="004C78C0">
        <w:t xml:space="preserve">C'est la première fois que </w:t>
      </w:r>
      <w:r>
        <w:t>mon</w:t>
      </w:r>
      <w:r w:rsidRPr="004C78C0">
        <w:t xml:space="preserve"> collègue Thomas Hibert et moi-même avons l'honneur de diriger cette conférence de presse. Au cours de la prochaine demi-heure, nous vous </w:t>
      </w:r>
      <w:r>
        <w:t>présenterons</w:t>
      </w:r>
      <w:r w:rsidRPr="004C78C0">
        <w:t xml:space="preserve"> quelques </w:t>
      </w:r>
      <w:r>
        <w:t>statistiques</w:t>
      </w:r>
      <w:r w:rsidRPr="004C78C0">
        <w:t xml:space="preserve"> et informations sur le salon 2022 ainsi qu'un aperçu de nos futurs </w:t>
      </w:r>
      <w:r>
        <w:t xml:space="preserve">projets </w:t>
      </w:r>
      <w:r w:rsidRPr="004C78C0">
        <w:t xml:space="preserve">et de la direction que nous </w:t>
      </w:r>
      <w:r>
        <w:t>souhaitons</w:t>
      </w:r>
      <w:r w:rsidRPr="004C78C0">
        <w:t xml:space="preserve"> prendre. Ensuite, nous vous donnerons bien sûr l'occasion de poser </w:t>
      </w:r>
      <w:r>
        <w:t>toutes vos</w:t>
      </w:r>
      <w:r w:rsidRPr="004C78C0">
        <w:t xml:space="preserve"> questions.</w:t>
      </w:r>
    </w:p>
    <w:p w14:paraId="6339A7F1" w14:textId="35ECB99E" w:rsidR="00735310" w:rsidRPr="004C78C0" w:rsidRDefault="00735310"/>
    <w:p w14:paraId="1AEE8C09" w14:textId="61847415" w:rsidR="00536AE5" w:rsidRPr="004C78C0" w:rsidRDefault="004C78C0">
      <w:r w:rsidRPr="004C78C0">
        <w:t xml:space="preserve">Mais nous commençons par une </w:t>
      </w:r>
      <w:r>
        <w:t>analyse</w:t>
      </w:r>
      <w:r w:rsidRPr="004C78C0">
        <w:t xml:space="preserve"> conjoncturelle sur l'industrie du meuble </w:t>
      </w:r>
      <w:r>
        <w:t xml:space="preserve">belge, </w:t>
      </w:r>
      <w:r w:rsidRPr="004C78C0">
        <w:t xml:space="preserve">qui vous est présentée par Filip De </w:t>
      </w:r>
      <w:proofErr w:type="spellStart"/>
      <w:r w:rsidRPr="004C78C0">
        <w:t>Jaegher</w:t>
      </w:r>
      <w:proofErr w:type="spellEnd"/>
      <w:r w:rsidRPr="004C78C0">
        <w:t xml:space="preserve">, directeur général de </w:t>
      </w:r>
      <w:proofErr w:type="spellStart"/>
      <w:r w:rsidRPr="004C78C0">
        <w:t>Fedustria</w:t>
      </w:r>
      <w:proofErr w:type="spellEnd"/>
      <w:r w:rsidRPr="004C78C0">
        <w:t>.</w:t>
      </w:r>
      <w:r w:rsidR="00536AE5" w:rsidRPr="004C78C0">
        <w:br w:type="page"/>
      </w:r>
    </w:p>
    <w:p w14:paraId="13B132D1" w14:textId="77777777" w:rsidR="004C78C0" w:rsidRPr="004C78C0" w:rsidRDefault="004C78C0" w:rsidP="004C78C0">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HAnsi"/>
          <w:b/>
          <w:i w:val="0"/>
          <w:color w:val="auto"/>
          <w:sz w:val="36"/>
          <w:szCs w:val="36"/>
          <w:lang w:val="fr-BE"/>
        </w:rPr>
      </w:pPr>
      <w:r w:rsidRPr="004C78C0">
        <w:rPr>
          <w:rFonts w:asciiTheme="minorHAnsi" w:hAnsiTheme="minorHAnsi"/>
          <w:b/>
          <w:i w:val="0"/>
          <w:color w:val="auto"/>
          <w:sz w:val="36"/>
          <w:lang w:val="fr-BE"/>
        </w:rPr>
        <w:lastRenderedPageBreak/>
        <w:t xml:space="preserve">L’industrie belge de l’ameublement en 2022 : </w:t>
      </w:r>
    </w:p>
    <w:p w14:paraId="0FF7449C" w14:textId="77777777" w:rsidR="004C78C0" w:rsidRPr="008D777B" w:rsidRDefault="004C78C0" w:rsidP="004C78C0">
      <w:pPr>
        <w:pBdr>
          <w:top w:val="single" w:sz="4" w:space="1" w:color="auto"/>
          <w:left w:val="single" w:sz="4" w:space="1" w:color="auto"/>
          <w:bottom w:val="single" w:sz="4" w:space="1" w:color="auto"/>
          <w:right w:val="single" w:sz="4" w:space="1" w:color="auto"/>
        </w:pBdr>
        <w:jc w:val="center"/>
      </w:pPr>
      <w:r w:rsidRPr="008D777B">
        <w:rPr>
          <w:b/>
          <w:sz w:val="36"/>
        </w:rPr>
        <w:t>Les coûts en hausse mettent la compétitivité et les marges sous pression</w:t>
      </w:r>
    </w:p>
    <w:p w14:paraId="1C0FCF7E" w14:textId="77777777" w:rsidR="004C78C0" w:rsidRPr="008D777B" w:rsidRDefault="004C78C0" w:rsidP="004C78C0">
      <w:pPr>
        <w:pBdr>
          <w:top w:val="single" w:sz="4" w:space="1" w:color="auto"/>
          <w:left w:val="single" w:sz="4" w:space="1" w:color="auto"/>
          <w:bottom w:val="single" w:sz="4" w:space="1" w:color="auto"/>
          <w:right w:val="single" w:sz="4" w:space="1" w:color="auto"/>
        </w:pBdr>
        <w:rPr>
          <w:rFonts w:cstheme="minorHAnsi"/>
        </w:rPr>
      </w:pPr>
    </w:p>
    <w:p w14:paraId="2597DECE" w14:textId="77777777" w:rsidR="004C78C0" w:rsidRPr="008D777B" w:rsidRDefault="004C78C0" w:rsidP="004C78C0">
      <w:pPr>
        <w:rPr>
          <w:rFonts w:cstheme="minorHAnsi"/>
        </w:rPr>
      </w:pPr>
    </w:p>
    <w:p w14:paraId="4E4B49FF" w14:textId="77777777" w:rsidR="004C78C0" w:rsidRPr="008D777B" w:rsidRDefault="004C78C0" w:rsidP="004C78C0">
      <w:pPr>
        <w:rPr>
          <w:rFonts w:cstheme="minorHAnsi"/>
          <w:b/>
          <w:u w:val="single"/>
        </w:rPr>
      </w:pPr>
      <w:r w:rsidRPr="008D777B">
        <w:rPr>
          <w:b/>
          <w:u w:val="single"/>
        </w:rPr>
        <w:t>L’industrie belge de l’ameublement</w:t>
      </w:r>
    </w:p>
    <w:p w14:paraId="39628837" w14:textId="77777777" w:rsidR="004C78C0" w:rsidRPr="008D777B" w:rsidRDefault="004C78C0" w:rsidP="004C78C0">
      <w:pPr>
        <w:rPr>
          <w:rFonts w:cstheme="minorHAnsi"/>
        </w:rPr>
      </w:pPr>
    </w:p>
    <w:p w14:paraId="141071E3" w14:textId="77777777" w:rsidR="004C78C0" w:rsidRPr="008D777B" w:rsidRDefault="004C78C0" w:rsidP="004C78C0">
      <w:pPr>
        <w:pBdr>
          <w:top w:val="single" w:sz="4" w:space="1" w:color="auto"/>
          <w:left w:val="single" w:sz="4" w:space="4" w:color="auto"/>
          <w:bottom w:val="single" w:sz="4" w:space="1" w:color="auto"/>
          <w:right w:val="single" w:sz="4" w:space="4" w:color="auto"/>
        </w:pBdr>
        <w:rPr>
          <w:rFonts w:cstheme="minorHAnsi"/>
          <w:sz w:val="10"/>
          <w:szCs w:val="10"/>
        </w:rPr>
      </w:pPr>
    </w:p>
    <w:p w14:paraId="55EDC504" w14:textId="77777777" w:rsidR="004C78C0" w:rsidRPr="008D777B" w:rsidRDefault="004C78C0" w:rsidP="004C78C0">
      <w:pPr>
        <w:pBdr>
          <w:top w:val="single" w:sz="4" w:space="1" w:color="auto"/>
          <w:left w:val="single" w:sz="4" w:space="4" w:color="auto"/>
          <w:bottom w:val="single" w:sz="4" w:space="1" w:color="auto"/>
          <w:right w:val="single" w:sz="4" w:space="4" w:color="auto"/>
        </w:pBdr>
        <w:rPr>
          <w:rFonts w:cstheme="minorHAnsi"/>
          <w:b/>
        </w:rPr>
      </w:pPr>
      <w:r w:rsidRPr="008D777B">
        <w:rPr>
          <w:b/>
        </w:rPr>
        <w:t>Chiffres clés (2021)</w:t>
      </w:r>
    </w:p>
    <w:p w14:paraId="1DAC0319" w14:textId="77777777" w:rsidR="004C78C0" w:rsidRPr="008D777B" w:rsidRDefault="004C78C0" w:rsidP="004C78C0">
      <w:pPr>
        <w:pBdr>
          <w:top w:val="single" w:sz="4" w:space="1" w:color="auto"/>
          <w:left w:val="single" w:sz="4" w:space="4" w:color="auto"/>
          <w:bottom w:val="single" w:sz="4" w:space="1" w:color="auto"/>
          <w:right w:val="single" w:sz="4" w:space="4" w:color="auto"/>
        </w:pBdr>
        <w:rPr>
          <w:rFonts w:cstheme="minorHAnsi"/>
          <w:b/>
          <w:sz w:val="14"/>
        </w:rPr>
      </w:pPr>
    </w:p>
    <w:p w14:paraId="6AFF84FC" w14:textId="77777777" w:rsidR="004C78C0" w:rsidRPr="008D777B" w:rsidRDefault="004C78C0" w:rsidP="004C78C0">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8D777B">
        <w:rPr>
          <w:rFonts w:asciiTheme="minorHAnsi" w:hAnsiTheme="minorHAnsi"/>
          <w:b/>
          <w:sz w:val="22"/>
        </w:rPr>
        <w:t>719 entreprises</w:t>
      </w:r>
    </w:p>
    <w:p w14:paraId="679DAC82" w14:textId="77777777" w:rsidR="004C78C0" w:rsidRPr="008D777B" w:rsidRDefault="004C78C0" w:rsidP="004C78C0">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8D777B">
        <w:rPr>
          <w:rFonts w:asciiTheme="minorHAnsi" w:hAnsiTheme="minorHAnsi"/>
          <w:b/>
          <w:sz w:val="22"/>
        </w:rPr>
        <w:t>9.824 travailleurs</w:t>
      </w:r>
    </w:p>
    <w:p w14:paraId="26EFE5E6" w14:textId="77777777" w:rsidR="004C78C0" w:rsidRPr="008D777B" w:rsidRDefault="004C78C0" w:rsidP="004C78C0">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8D777B">
        <w:rPr>
          <w:rFonts w:asciiTheme="minorHAnsi" w:hAnsiTheme="minorHAnsi"/>
          <w:b/>
          <w:sz w:val="22"/>
        </w:rPr>
        <w:t>Chiffre d'affaires : 2,27 milliards d'euros</w:t>
      </w:r>
    </w:p>
    <w:p w14:paraId="5C5366E5" w14:textId="77777777" w:rsidR="004C78C0" w:rsidRPr="008D777B" w:rsidRDefault="004C78C0" w:rsidP="004C78C0">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rPr>
      </w:pPr>
      <w:r w:rsidRPr="008D777B">
        <w:rPr>
          <w:rFonts w:asciiTheme="minorHAnsi" w:hAnsiTheme="minorHAnsi"/>
          <w:b/>
          <w:sz w:val="22"/>
        </w:rPr>
        <w:t>Part des exportations : 57 %</w:t>
      </w:r>
    </w:p>
    <w:p w14:paraId="069F3DD4" w14:textId="77777777" w:rsidR="004C78C0" w:rsidRPr="004C78C0" w:rsidRDefault="004C78C0" w:rsidP="004C78C0">
      <w:pPr>
        <w:pStyle w:val="ListParagraph"/>
        <w:numPr>
          <w:ilvl w:val="0"/>
          <w:numId w:val="15"/>
        </w:numPr>
        <w:pBdr>
          <w:top w:val="single" w:sz="4" w:space="1" w:color="auto"/>
          <w:left w:val="single" w:sz="4" w:space="4" w:color="auto"/>
          <w:bottom w:val="single" w:sz="4" w:space="1" w:color="auto"/>
          <w:right w:val="single" w:sz="4" w:space="4" w:color="auto"/>
        </w:pBdr>
        <w:overflowPunct/>
        <w:autoSpaceDE/>
        <w:autoSpaceDN/>
        <w:adjustRightInd/>
        <w:ind w:left="284" w:hanging="284"/>
        <w:textAlignment w:val="auto"/>
        <w:rPr>
          <w:rFonts w:asciiTheme="minorHAnsi" w:hAnsiTheme="minorHAnsi" w:cstheme="minorHAnsi"/>
          <w:b/>
          <w:sz w:val="22"/>
          <w:szCs w:val="22"/>
          <w:lang w:val="fr-BE"/>
        </w:rPr>
      </w:pPr>
      <w:r w:rsidRPr="004C78C0">
        <w:rPr>
          <w:rFonts w:asciiTheme="minorHAnsi" w:hAnsiTheme="minorHAnsi"/>
          <w:b/>
          <w:sz w:val="22"/>
          <w:lang w:val="fr-BE"/>
        </w:rPr>
        <w:t>Part dans le chiffre d'affaires total de l'industrie belge du bois et de l'ameublement : 36 %</w:t>
      </w:r>
    </w:p>
    <w:p w14:paraId="2613B14E" w14:textId="77777777" w:rsidR="004C78C0" w:rsidRPr="008D777B" w:rsidRDefault="004C78C0" w:rsidP="004C78C0">
      <w:pPr>
        <w:pBdr>
          <w:top w:val="single" w:sz="4" w:space="1" w:color="auto"/>
          <w:left w:val="single" w:sz="4" w:space="4" w:color="auto"/>
          <w:bottom w:val="single" w:sz="4" w:space="1" w:color="auto"/>
          <w:right w:val="single" w:sz="4" w:space="4" w:color="auto"/>
        </w:pBdr>
        <w:rPr>
          <w:rFonts w:cstheme="minorHAnsi"/>
          <w:sz w:val="10"/>
          <w:szCs w:val="10"/>
        </w:rPr>
      </w:pPr>
    </w:p>
    <w:p w14:paraId="5C85B528" w14:textId="77777777" w:rsidR="004C78C0" w:rsidRPr="008D777B" w:rsidRDefault="004C78C0" w:rsidP="004C78C0">
      <w:pPr>
        <w:tabs>
          <w:tab w:val="left" w:pos="-828"/>
          <w:tab w:val="left" w:pos="4253"/>
        </w:tabs>
        <w:suppressAutoHyphens/>
        <w:jc w:val="both"/>
        <w:rPr>
          <w:rFonts w:cstheme="minorHAnsi"/>
          <w:spacing w:val="-3"/>
        </w:rPr>
      </w:pPr>
    </w:p>
    <w:p w14:paraId="1083A5BD" w14:textId="77777777" w:rsidR="004C78C0" w:rsidRPr="008D777B" w:rsidRDefault="004C78C0" w:rsidP="004C78C0">
      <w:pPr>
        <w:tabs>
          <w:tab w:val="left" w:pos="-828"/>
          <w:tab w:val="left" w:pos="4253"/>
        </w:tabs>
        <w:suppressAutoHyphens/>
        <w:jc w:val="both"/>
        <w:rPr>
          <w:rFonts w:cstheme="minorHAnsi"/>
          <w:b/>
          <w:spacing w:val="-3"/>
          <w:u w:val="single"/>
        </w:rPr>
      </w:pPr>
      <w:r w:rsidRPr="008D777B">
        <w:rPr>
          <w:b/>
          <w:spacing w:val="-3"/>
          <w:u w:val="single"/>
        </w:rPr>
        <w:t>Synthèse des évolutions au cours du premier semestre 2022</w:t>
      </w:r>
    </w:p>
    <w:p w14:paraId="2579EDD9" w14:textId="77777777" w:rsidR="004C78C0" w:rsidRPr="008D777B" w:rsidRDefault="004C78C0" w:rsidP="004C78C0">
      <w:pPr>
        <w:tabs>
          <w:tab w:val="left" w:pos="-828"/>
          <w:tab w:val="left" w:pos="4253"/>
        </w:tabs>
        <w:suppressAutoHyphens/>
        <w:jc w:val="both"/>
        <w:rPr>
          <w:rFonts w:cstheme="minorHAnsi"/>
          <w:spacing w:val="-3"/>
        </w:rPr>
      </w:pPr>
    </w:p>
    <w:p w14:paraId="51A65B6C" w14:textId="77777777" w:rsidR="004C78C0" w:rsidRPr="004C78C0" w:rsidRDefault="004C78C0" w:rsidP="004C78C0">
      <w:pPr>
        <w:pStyle w:val="ListParagraph"/>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spacing w:val="-3"/>
          <w:sz w:val="22"/>
          <w:szCs w:val="22"/>
          <w:lang w:val="fr-BE"/>
        </w:rPr>
      </w:pPr>
      <w:r w:rsidRPr="004C78C0">
        <w:rPr>
          <w:rFonts w:asciiTheme="minorHAnsi" w:hAnsiTheme="minorHAnsi"/>
          <w:spacing w:val="-3"/>
          <w:sz w:val="22"/>
          <w:lang w:val="fr-BE"/>
        </w:rPr>
        <w:t xml:space="preserve">Chiffre d'affaires : 1.190,5 millions d'euros, +2,9 % comparativement au premier semestre 2021. Baisse réelle du volume de 11 % par suite de l'augmentation des prix à la production de 15,7 % </w:t>
      </w:r>
    </w:p>
    <w:p w14:paraId="760E23E9" w14:textId="77777777" w:rsidR="004C78C0" w:rsidRPr="008D777B" w:rsidRDefault="004C78C0" w:rsidP="004C78C0">
      <w:pPr>
        <w:pStyle w:val="ListParagraph"/>
        <w:numPr>
          <w:ilvl w:val="0"/>
          <w:numId w:val="16"/>
        </w:numPr>
        <w:tabs>
          <w:tab w:val="left" w:pos="-828"/>
          <w:tab w:val="left" w:pos="4253"/>
        </w:tabs>
        <w:suppressAutoHyphens/>
        <w:overflowPunct/>
        <w:autoSpaceDE/>
        <w:autoSpaceDN/>
        <w:adjustRightInd/>
        <w:ind w:left="284" w:hanging="284"/>
        <w:jc w:val="both"/>
        <w:textAlignment w:val="auto"/>
        <w:rPr>
          <w:rFonts w:asciiTheme="minorHAnsi" w:hAnsiTheme="minorHAnsi" w:cstheme="minorHAnsi"/>
          <w:spacing w:val="-3"/>
          <w:sz w:val="22"/>
          <w:szCs w:val="22"/>
        </w:rPr>
      </w:pPr>
      <w:r w:rsidRPr="008D777B">
        <w:rPr>
          <w:rFonts w:asciiTheme="minorHAnsi" w:hAnsiTheme="minorHAnsi"/>
          <w:spacing w:val="-3"/>
          <w:sz w:val="22"/>
        </w:rPr>
        <w:t>Investissements : 37,5 millions d'euros (-1,3 %)</w:t>
      </w:r>
    </w:p>
    <w:p w14:paraId="17848E25" w14:textId="77777777" w:rsidR="004C78C0" w:rsidRPr="004C78C0" w:rsidRDefault="004C78C0" w:rsidP="004C78C0">
      <w:pPr>
        <w:pStyle w:val="ListParagraph"/>
        <w:numPr>
          <w:ilvl w:val="0"/>
          <w:numId w:val="16"/>
        </w:numPr>
        <w:tabs>
          <w:tab w:val="left" w:pos="-828"/>
          <w:tab w:val="left" w:pos="4253"/>
        </w:tabs>
        <w:suppressAutoHyphens/>
        <w:overflowPunct/>
        <w:autoSpaceDE/>
        <w:autoSpaceDN/>
        <w:adjustRightInd/>
        <w:ind w:left="284" w:hanging="284"/>
        <w:jc w:val="both"/>
        <w:textAlignment w:val="auto"/>
        <w:rPr>
          <w:rFonts w:asciiTheme="minorHAnsi" w:hAnsiTheme="minorHAnsi" w:cstheme="minorHAnsi"/>
          <w:spacing w:val="-3"/>
          <w:sz w:val="22"/>
          <w:szCs w:val="22"/>
          <w:lang w:val="fr-BE"/>
        </w:rPr>
      </w:pPr>
      <w:r w:rsidRPr="004C78C0">
        <w:rPr>
          <w:rFonts w:asciiTheme="minorHAnsi" w:hAnsiTheme="minorHAnsi"/>
          <w:spacing w:val="-3"/>
          <w:sz w:val="22"/>
          <w:lang w:val="fr-BE"/>
        </w:rPr>
        <w:t xml:space="preserve">Taux d'occupation de la capacité de production : 86,2 % </w:t>
      </w:r>
    </w:p>
    <w:p w14:paraId="534DD584" w14:textId="77777777" w:rsidR="004C78C0" w:rsidRPr="004C78C0" w:rsidRDefault="004C78C0" w:rsidP="004C78C0">
      <w:pPr>
        <w:pStyle w:val="ListParagraph"/>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lang w:val="fr-BE"/>
        </w:rPr>
      </w:pPr>
      <w:r w:rsidRPr="004C78C0">
        <w:rPr>
          <w:rFonts w:asciiTheme="minorHAnsi" w:hAnsiTheme="minorHAnsi"/>
          <w:spacing w:val="-3"/>
          <w:sz w:val="22"/>
          <w:lang w:val="fr-BE"/>
        </w:rPr>
        <w:t>Exportations : +1,0 % par rapport à la même période en 2021. La France, les Pays-Bas et l'Allemagne demeurent les principaux débouchés</w:t>
      </w:r>
    </w:p>
    <w:p w14:paraId="6C050C02" w14:textId="77777777" w:rsidR="004C78C0" w:rsidRPr="004C78C0" w:rsidRDefault="004C78C0" w:rsidP="004C78C0">
      <w:pPr>
        <w:pStyle w:val="ListParagraph"/>
        <w:numPr>
          <w:ilvl w:val="0"/>
          <w:numId w:val="16"/>
        </w:numPr>
        <w:tabs>
          <w:tab w:val="left" w:pos="4253"/>
        </w:tabs>
        <w:suppressAutoHyphens/>
        <w:overflowPunct/>
        <w:autoSpaceDE/>
        <w:autoSpaceDN/>
        <w:adjustRightInd/>
        <w:ind w:left="284" w:hanging="284"/>
        <w:jc w:val="both"/>
        <w:textAlignment w:val="auto"/>
        <w:rPr>
          <w:rFonts w:asciiTheme="minorHAnsi" w:hAnsiTheme="minorHAnsi" w:cstheme="minorBidi"/>
          <w:lang w:val="fr-BE"/>
        </w:rPr>
      </w:pPr>
      <w:r w:rsidRPr="004C78C0">
        <w:rPr>
          <w:rFonts w:asciiTheme="minorHAnsi" w:hAnsiTheme="minorHAnsi"/>
          <w:spacing w:val="-3"/>
          <w:sz w:val="22"/>
          <w:lang w:val="fr-BE"/>
        </w:rPr>
        <w:t>Importations : -5,2 % par rapport à la même période en 2021</w:t>
      </w:r>
    </w:p>
    <w:p w14:paraId="18AA8783" w14:textId="77777777" w:rsidR="004C78C0" w:rsidRPr="008D777B" w:rsidRDefault="004C78C0" w:rsidP="004C78C0">
      <w:pPr>
        <w:jc w:val="both"/>
        <w:rPr>
          <w:rFonts w:cstheme="minorHAnsi"/>
          <w:b/>
          <w:bCs/>
          <w:u w:val="single"/>
        </w:rPr>
      </w:pPr>
    </w:p>
    <w:p w14:paraId="611D7DE3" w14:textId="77777777" w:rsidR="004C78C0" w:rsidRPr="008D777B" w:rsidRDefault="004C78C0" w:rsidP="004C78C0">
      <w:pPr>
        <w:jc w:val="both"/>
        <w:rPr>
          <w:rFonts w:cstheme="minorHAnsi"/>
          <w:b/>
          <w:bCs/>
          <w:u w:val="single"/>
        </w:rPr>
      </w:pPr>
      <w:r w:rsidRPr="008D777B">
        <w:rPr>
          <w:b/>
          <w:u w:val="single"/>
        </w:rPr>
        <w:t>Contexte général</w:t>
      </w:r>
    </w:p>
    <w:p w14:paraId="43734A60" w14:textId="77777777" w:rsidR="004C78C0" w:rsidRPr="008D777B" w:rsidRDefault="004C78C0" w:rsidP="004C78C0">
      <w:pPr>
        <w:jc w:val="both"/>
        <w:rPr>
          <w:rFonts w:cstheme="minorHAnsi"/>
          <w:bCs/>
        </w:rPr>
      </w:pPr>
    </w:p>
    <w:p w14:paraId="38F927B5" w14:textId="77777777" w:rsidR="004C78C0" w:rsidRPr="008D777B" w:rsidRDefault="004C78C0" w:rsidP="004C78C0">
      <w:pPr>
        <w:jc w:val="both"/>
      </w:pPr>
      <w:r w:rsidRPr="008D777B">
        <w:t>Après une bonne année 2021 avec une augmentation du chiffre d'affaires de presque 10 %, l'industrie belge de l'ameublement a entamé 2022 avec une confiance prudente. Les fabricants ont tenu compte du fait qu'il pourrait y avoir un léger recul après la forte demande par suite d'investissements dans l'intérieur/l'extérieur et la rénovation d'habitations pendant la crise du coronavirus, mais ils ont été pris de vitesse par la forte poussée inflationniste, la crise énergétique et l'invasion de l'Ukraine par la Russie fin février.</w:t>
      </w:r>
    </w:p>
    <w:p w14:paraId="497514A2" w14:textId="77777777" w:rsidR="004C78C0" w:rsidRPr="008D777B" w:rsidRDefault="004C78C0" w:rsidP="004C78C0">
      <w:pPr>
        <w:jc w:val="both"/>
        <w:rPr>
          <w:rFonts w:cstheme="minorHAnsi"/>
          <w:bCs/>
        </w:rPr>
      </w:pPr>
    </w:p>
    <w:p w14:paraId="5B0C6398" w14:textId="77777777" w:rsidR="004C78C0" w:rsidRDefault="004C78C0" w:rsidP="004C78C0">
      <w:pPr>
        <w:jc w:val="both"/>
      </w:pPr>
      <w:r w:rsidRPr="008D777B">
        <w:t xml:space="preserve">Ces développements ont donné lieu à des hausses de prix sans précédent de pratiquement toutes les matières premières et tous les matériaux, ce qui a vraiment entraîné une chute libre de la </w:t>
      </w:r>
      <w:r w:rsidRPr="008D777B">
        <w:lastRenderedPageBreak/>
        <w:t xml:space="preserve">confiance des consommateurs et mis un frein à la consommation de biens d'investissement durables. Aussi, la demande de meubles a fortement reculé depuis le deuxième trimestre de cette année, d'autant plus que les consommateurs ont à nouveau pu affecter leur budget familial post-corona aux loisirs (e.a. </w:t>
      </w:r>
      <w:proofErr w:type="spellStart"/>
      <w:r w:rsidRPr="008D777B">
        <w:t>horeca</w:t>
      </w:r>
      <w:proofErr w:type="spellEnd"/>
      <w:r w:rsidRPr="008D777B">
        <w:t>, voyages</w:t>
      </w:r>
      <w:r>
        <w:t xml:space="preserve">, </w:t>
      </w:r>
      <w:r w:rsidRPr="008D777B">
        <w:t>...) ou ont souvent aussi de plus en plus besoin de l'argent pour payer les factures d'énergie en forte hausse en vue de la période hivernale imminente.</w:t>
      </w:r>
    </w:p>
    <w:p w14:paraId="54D6F761" w14:textId="40D23372" w:rsidR="004C78C0" w:rsidRPr="008D777B" w:rsidRDefault="004C78C0" w:rsidP="004C78C0">
      <w:pPr>
        <w:jc w:val="both"/>
      </w:pPr>
      <w:r w:rsidRPr="008D777B">
        <w:t xml:space="preserve">L'industrie de l'ameublement, et par extension l'ensemble de l'industrie manufacturière, se trouve donc au beau milieu d'une tempête parfaite : l'augmentation des coûts de l'énergie, des matières premières et du personnel (en raison des indexations automatiques des salaires successives) en même temps qu'une baisse de la demande met les marges et la compétitivité sous très forte pression et crée une grande incertitude sur ce que 2023 va apporter. </w:t>
      </w:r>
    </w:p>
    <w:p w14:paraId="55DD2532" w14:textId="77777777" w:rsidR="004C78C0" w:rsidRPr="008D777B" w:rsidRDefault="004C78C0" w:rsidP="004C78C0">
      <w:pPr>
        <w:rPr>
          <w:rFonts w:cstheme="minorHAnsi"/>
          <w:bCs/>
        </w:rPr>
      </w:pPr>
    </w:p>
    <w:p w14:paraId="1FE8CAA7" w14:textId="77777777" w:rsidR="004C78C0" w:rsidRPr="004C78C0" w:rsidRDefault="004C78C0" w:rsidP="004C78C0">
      <w:pPr>
        <w:pStyle w:val="BodyText"/>
        <w:rPr>
          <w:rFonts w:asciiTheme="minorHAnsi" w:hAnsiTheme="minorHAnsi" w:cstheme="minorBidi"/>
          <w:b/>
          <w:bCs/>
          <w:u w:val="single"/>
          <w:lang w:val="fr-BE"/>
        </w:rPr>
      </w:pPr>
      <w:r w:rsidRPr="004C78C0">
        <w:rPr>
          <w:rFonts w:asciiTheme="minorHAnsi" w:hAnsiTheme="minorHAnsi"/>
          <w:b/>
          <w:u w:val="single"/>
          <w:lang w:val="fr-BE"/>
        </w:rPr>
        <w:t>Premier semestre 2022 : Augmentation du chiffre d'affaires, mais baisse du volume</w:t>
      </w:r>
    </w:p>
    <w:p w14:paraId="40B33A31" w14:textId="77777777" w:rsidR="004C78C0" w:rsidRPr="004C78C0" w:rsidRDefault="004C78C0" w:rsidP="004C78C0">
      <w:pPr>
        <w:pStyle w:val="BodyText"/>
        <w:rPr>
          <w:rFonts w:asciiTheme="minorHAnsi" w:hAnsiTheme="minorHAnsi" w:cstheme="minorHAnsi"/>
          <w:szCs w:val="22"/>
          <w:lang w:val="fr-BE"/>
        </w:rPr>
      </w:pPr>
    </w:p>
    <w:tbl>
      <w:tblPr>
        <w:tblW w:w="10453" w:type="dxa"/>
        <w:tblInd w:w="-572" w:type="dxa"/>
        <w:tblLayout w:type="fixed"/>
        <w:tblCellMar>
          <w:left w:w="70" w:type="dxa"/>
          <w:right w:w="70" w:type="dxa"/>
        </w:tblCellMar>
        <w:tblLook w:val="04A0" w:firstRow="1" w:lastRow="0" w:firstColumn="1" w:lastColumn="0" w:noHBand="0" w:noVBand="1"/>
      </w:tblPr>
      <w:tblGrid>
        <w:gridCol w:w="2835"/>
        <w:gridCol w:w="952"/>
        <w:gridCol w:w="952"/>
        <w:gridCol w:w="952"/>
        <w:gridCol w:w="953"/>
        <w:gridCol w:w="952"/>
        <w:gridCol w:w="952"/>
        <w:gridCol w:w="952"/>
        <w:gridCol w:w="953"/>
      </w:tblGrid>
      <w:tr w:rsidR="004C78C0" w:rsidRPr="008D777B" w14:paraId="3A2CFCBE" w14:textId="77777777" w:rsidTr="00654255">
        <w:trPr>
          <w:trHeight w:val="420"/>
        </w:trPr>
        <w:tc>
          <w:tcPr>
            <w:tcW w:w="8548" w:type="dxa"/>
            <w:gridSpan w:val="7"/>
            <w:tcBorders>
              <w:top w:val="single" w:sz="4" w:space="0" w:color="auto"/>
              <w:left w:val="single" w:sz="4" w:space="0" w:color="auto"/>
              <w:bottom w:val="single" w:sz="4" w:space="0" w:color="auto"/>
              <w:right w:val="single" w:sz="4" w:space="0" w:color="auto"/>
            </w:tcBorders>
            <w:shd w:val="clear" w:color="auto" w:fill="FFC000"/>
            <w:noWrap/>
            <w:vAlign w:val="center"/>
          </w:tcPr>
          <w:p w14:paraId="36CC3541" w14:textId="77777777" w:rsidR="004C78C0" w:rsidRPr="008D777B" w:rsidRDefault="004C78C0" w:rsidP="00654255">
            <w:pPr>
              <w:jc w:val="center"/>
              <w:rPr>
                <w:rFonts w:cstheme="minorHAnsi"/>
                <w:b/>
                <w:bCs/>
                <w:color w:val="000000"/>
              </w:rPr>
            </w:pPr>
            <w:r w:rsidRPr="008D777B">
              <w:rPr>
                <w:b/>
                <w:color w:val="000000"/>
              </w:rPr>
              <w:t>Evolution du chiffre d'affaires dans l’industrie belge de l’ameublement</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5323D514" w14:textId="77777777" w:rsidR="004C78C0" w:rsidRPr="00D96D61" w:rsidRDefault="004C78C0" w:rsidP="00654255">
            <w:pPr>
              <w:jc w:val="center"/>
              <w:rPr>
                <w:b/>
                <w:color w:val="000000"/>
                <w:sz w:val="18"/>
                <w:szCs w:val="18"/>
              </w:rPr>
            </w:pPr>
            <w:r w:rsidRPr="00D96D61">
              <w:rPr>
                <w:b/>
                <w:color w:val="000000"/>
                <w:sz w:val="18"/>
                <w:szCs w:val="18"/>
              </w:rPr>
              <w:t>Prix à la produc-</w:t>
            </w:r>
          </w:p>
          <w:p w14:paraId="20B251A2" w14:textId="77777777" w:rsidR="004C78C0" w:rsidRPr="00D96D61" w:rsidRDefault="004C78C0" w:rsidP="00654255">
            <w:pPr>
              <w:jc w:val="center"/>
              <w:rPr>
                <w:b/>
                <w:color w:val="000000"/>
                <w:sz w:val="18"/>
                <w:szCs w:val="18"/>
              </w:rPr>
            </w:pPr>
            <w:proofErr w:type="spellStart"/>
            <w:r w:rsidRPr="00D96D61">
              <w:rPr>
                <w:b/>
                <w:color w:val="000000"/>
                <w:sz w:val="18"/>
                <w:szCs w:val="18"/>
              </w:rPr>
              <w:t>tion</w:t>
            </w:r>
            <w:proofErr w:type="spellEnd"/>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tcPr>
          <w:p w14:paraId="73F286DF" w14:textId="77777777" w:rsidR="004C78C0" w:rsidRPr="00D96D61" w:rsidRDefault="004C78C0" w:rsidP="00654255">
            <w:pPr>
              <w:jc w:val="center"/>
              <w:rPr>
                <w:rFonts w:cstheme="minorHAnsi"/>
                <w:b/>
                <w:bCs/>
                <w:color w:val="000000"/>
                <w:sz w:val="18"/>
                <w:szCs w:val="18"/>
              </w:rPr>
            </w:pPr>
            <w:r w:rsidRPr="00D96D61">
              <w:rPr>
                <w:b/>
                <w:color w:val="000000"/>
                <w:sz w:val="18"/>
                <w:szCs w:val="18"/>
              </w:rPr>
              <w:t>Chiffre d'affaires en volume</w:t>
            </w:r>
          </w:p>
        </w:tc>
      </w:tr>
      <w:tr w:rsidR="004C78C0" w:rsidRPr="008D777B" w14:paraId="481E6935" w14:textId="77777777" w:rsidTr="00654255">
        <w:trPr>
          <w:trHeight w:val="420"/>
        </w:trPr>
        <w:tc>
          <w:tcPr>
            <w:tcW w:w="283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AE8D5DE" w14:textId="77777777" w:rsidR="004C78C0" w:rsidRPr="008D777B" w:rsidRDefault="004C78C0" w:rsidP="00654255">
            <w:pPr>
              <w:jc w:val="center"/>
              <w:rPr>
                <w:rFonts w:cstheme="minorHAnsi"/>
                <w:b/>
                <w:bCs/>
                <w:color w:val="000000"/>
              </w:rPr>
            </w:pPr>
            <w:r w:rsidRPr="008D777B">
              <w:rPr>
                <w:b/>
                <w:color w:val="000000"/>
              </w:rPr>
              <w:t>En millions d'euros</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0161A57B" w14:textId="77777777" w:rsidR="004C78C0" w:rsidRPr="008D777B" w:rsidRDefault="004C78C0" w:rsidP="00654255">
            <w:pPr>
              <w:jc w:val="center"/>
              <w:rPr>
                <w:rFonts w:cstheme="minorHAnsi"/>
                <w:b/>
                <w:bCs/>
                <w:color w:val="000000"/>
              </w:rPr>
            </w:pPr>
            <w:r w:rsidRPr="008D777B">
              <w:rPr>
                <w:b/>
                <w:color w:val="000000"/>
              </w:rPr>
              <w:t>2020</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1A160EAB" w14:textId="77777777" w:rsidR="004C78C0" w:rsidRPr="008D777B" w:rsidRDefault="004C78C0" w:rsidP="00654255">
            <w:pPr>
              <w:jc w:val="center"/>
              <w:rPr>
                <w:rFonts w:cstheme="minorHAnsi"/>
                <w:b/>
                <w:bCs/>
                <w:color w:val="000000"/>
              </w:rPr>
            </w:pPr>
            <w:r w:rsidRPr="008D777B">
              <w:rPr>
                <w:b/>
                <w:color w:val="000000"/>
              </w:rPr>
              <w:t>2021</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5B3D6553" w14:textId="77777777" w:rsidR="004C78C0" w:rsidRPr="008D777B" w:rsidRDefault="004C78C0" w:rsidP="00654255">
            <w:pPr>
              <w:jc w:val="center"/>
              <w:rPr>
                <w:rFonts w:cstheme="minorHAnsi"/>
                <w:b/>
                <w:bCs/>
                <w:color w:val="000000"/>
              </w:rPr>
            </w:pPr>
            <w:r w:rsidRPr="008D777B">
              <w:rPr>
                <w:b/>
                <w:color w:val="000000"/>
              </w:rPr>
              <w:t>'21/'20</w:t>
            </w:r>
          </w:p>
        </w:tc>
        <w:tc>
          <w:tcPr>
            <w:tcW w:w="953" w:type="dxa"/>
            <w:tcBorders>
              <w:top w:val="single" w:sz="4" w:space="0" w:color="auto"/>
              <w:left w:val="nil"/>
              <w:bottom w:val="single" w:sz="4" w:space="0" w:color="auto"/>
              <w:right w:val="single" w:sz="4" w:space="0" w:color="auto"/>
            </w:tcBorders>
            <w:shd w:val="clear" w:color="auto" w:fill="FFC000"/>
            <w:noWrap/>
            <w:vAlign w:val="center"/>
            <w:hideMark/>
          </w:tcPr>
          <w:p w14:paraId="5D651720" w14:textId="77777777" w:rsidR="004C78C0" w:rsidRPr="008D777B" w:rsidRDefault="004C78C0" w:rsidP="00654255">
            <w:pPr>
              <w:jc w:val="center"/>
              <w:rPr>
                <w:rFonts w:cstheme="minorHAnsi"/>
                <w:b/>
                <w:bCs/>
                <w:color w:val="000000"/>
              </w:rPr>
            </w:pPr>
            <w:r w:rsidRPr="008D777B">
              <w:rPr>
                <w:b/>
                <w:color w:val="000000"/>
              </w:rPr>
              <w:t xml:space="preserve">6 m 2021 </w:t>
            </w:r>
          </w:p>
        </w:tc>
        <w:tc>
          <w:tcPr>
            <w:tcW w:w="952" w:type="dxa"/>
            <w:tcBorders>
              <w:top w:val="single" w:sz="4" w:space="0" w:color="auto"/>
              <w:left w:val="nil"/>
              <w:bottom w:val="single" w:sz="4" w:space="0" w:color="auto"/>
              <w:right w:val="single" w:sz="4" w:space="0" w:color="auto"/>
            </w:tcBorders>
            <w:shd w:val="clear" w:color="auto" w:fill="FFC000"/>
            <w:noWrap/>
            <w:vAlign w:val="center"/>
            <w:hideMark/>
          </w:tcPr>
          <w:p w14:paraId="0A35136D" w14:textId="77777777" w:rsidR="004C78C0" w:rsidRPr="008D777B" w:rsidRDefault="004C78C0" w:rsidP="00654255">
            <w:pPr>
              <w:jc w:val="center"/>
              <w:rPr>
                <w:rFonts w:cstheme="minorHAnsi"/>
                <w:b/>
                <w:bCs/>
                <w:color w:val="000000"/>
              </w:rPr>
            </w:pPr>
            <w:r w:rsidRPr="008D777B">
              <w:rPr>
                <w:b/>
                <w:color w:val="000000"/>
              </w:rPr>
              <w:t xml:space="preserve">6 m 2022 </w:t>
            </w:r>
            <w:r w:rsidRPr="008D777B">
              <w:rPr>
                <w:b/>
                <w:bCs/>
                <w:color w:val="000000"/>
                <w:vertAlign w:val="superscript"/>
              </w:rPr>
              <w:t>3</w:t>
            </w:r>
          </w:p>
        </w:tc>
        <w:tc>
          <w:tcPr>
            <w:tcW w:w="952" w:type="dxa"/>
            <w:tcBorders>
              <w:top w:val="single" w:sz="4" w:space="0" w:color="auto"/>
              <w:left w:val="nil"/>
              <w:bottom w:val="single" w:sz="4" w:space="0" w:color="auto"/>
              <w:right w:val="nil"/>
            </w:tcBorders>
            <w:shd w:val="clear" w:color="auto" w:fill="FFC000"/>
            <w:noWrap/>
            <w:vAlign w:val="center"/>
            <w:hideMark/>
          </w:tcPr>
          <w:p w14:paraId="3136E62F" w14:textId="77777777" w:rsidR="004C78C0" w:rsidRPr="008D777B" w:rsidRDefault="004C78C0" w:rsidP="00654255">
            <w:pPr>
              <w:jc w:val="center"/>
              <w:rPr>
                <w:rFonts w:cstheme="minorHAnsi"/>
                <w:b/>
                <w:bCs/>
                <w:color w:val="000000"/>
              </w:rPr>
            </w:pPr>
            <w:r w:rsidRPr="008D777B">
              <w:rPr>
                <w:b/>
                <w:color w:val="000000"/>
              </w:rPr>
              <w:t>6 m '22/'21</w:t>
            </w:r>
          </w:p>
        </w:tc>
        <w:tc>
          <w:tcPr>
            <w:tcW w:w="952"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22296BA6" w14:textId="77777777" w:rsidR="004C78C0" w:rsidRPr="008D777B" w:rsidRDefault="004C78C0" w:rsidP="00654255">
            <w:pPr>
              <w:jc w:val="center"/>
              <w:rPr>
                <w:rFonts w:cstheme="minorHAnsi"/>
                <w:b/>
                <w:bCs/>
                <w:color w:val="000000"/>
              </w:rPr>
            </w:pPr>
            <w:r w:rsidRPr="008D777B">
              <w:rPr>
                <w:b/>
                <w:color w:val="000000"/>
              </w:rPr>
              <w:t xml:space="preserve"> 6 m '22/'21</w:t>
            </w:r>
          </w:p>
        </w:tc>
        <w:tc>
          <w:tcPr>
            <w:tcW w:w="953" w:type="dxa"/>
            <w:tcBorders>
              <w:top w:val="single" w:sz="4" w:space="0" w:color="auto"/>
              <w:left w:val="single" w:sz="12" w:space="0" w:color="auto"/>
              <w:bottom w:val="single" w:sz="4" w:space="0" w:color="auto"/>
              <w:right w:val="single" w:sz="4" w:space="0" w:color="auto"/>
            </w:tcBorders>
            <w:shd w:val="clear" w:color="auto" w:fill="FFC000"/>
            <w:noWrap/>
            <w:vAlign w:val="center"/>
            <w:hideMark/>
          </w:tcPr>
          <w:p w14:paraId="2A13793A" w14:textId="77777777" w:rsidR="004C78C0" w:rsidRPr="008D777B" w:rsidRDefault="004C78C0" w:rsidP="00654255">
            <w:pPr>
              <w:jc w:val="center"/>
              <w:rPr>
                <w:rFonts w:cstheme="minorHAnsi"/>
                <w:b/>
                <w:bCs/>
                <w:color w:val="000000"/>
              </w:rPr>
            </w:pPr>
            <w:r w:rsidRPr="008D777B">
              <w:rPr>
                <w:b/>
                <w:color w:val="000000"/>
              </w:rPr>
              <w:t xml:space="preserve"> 6 m '22/'21</w:t>
            </w:r>
          </w:p>
        </w:tc>
      </w:tr>
      <w:tr w:rsidR="004C78C0" w:rsidRPr="008D777B" w14:paraId="7E82A3E5" w14:textId="77777777" w:rsidTr="00654255">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1B6E680" w14:textId="77777777" w:rsidR="004C78C0" w:rsidRPr="008D777B" w:rsidRDefault="004C78C0" w:rsidP="00654255">
            <w:pPr>
              <w:rPr>
                <w:rFonts w:cstheme="minorHAnsi"/>
                <w:color w:val="000000"/>
              </w:rPr>
            </w:pPr>
            <w:r w:rsidRPr="008D777B">
              <w:rPr>
                <w:color w:val="000000"/>
              </w:rPr>
              <w:t>Chaises et sièges, meubles de salle à manger, salon, chambre à coucher, salle de bains, jardin et terrasse</w:t>
            </w:r>
          </w:p>
        </w:tc>
        <w:tc>
          <w:tcPr>
            <w:tcW w:w="952" w:type="dxa"/>
            <w:tcBorders>
              <w:top w:val="nil"/>
              <w:left w:val="nil"/>
              <w:bottom w:val="single" w:sz="4" w:space="0" w:color="auto"/>
              <w:right w:val="nil"/>
            </w:tcBorders>
            <w:shd w:val="clear" w:color="auto" w:fill="auto"/>
            <w:noWrap/>
            <w:vAlign w:val="center"/>
            <w:hideMark/>
          </w:tcPr>
          <w:p w14:paraId="70B5AAF1" w14:textId="77777777" w:rsidR="004C78C0" w:rsidRPr="008D777B" w:rsidRDefault="004C78C0" w:rsidP="00654255">
            <w:pPr>
              <w:jc w:val="right"/>
              <w:rPr>
                <w:rFonts w:cstheme="minorHAnsi"/>
                <w:color w:val="000000"/>
              </w:rPr>
            </w:pPr>
            <w:r w:rsidRPr="008D777B">
              <w:rPr>
                <w:color w:val="000000"/>
              </w:rPr>
              <w:t>812,9</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46BD5B7" w14:textId="77777777" w:rsidR="004C78C0" w:rsidRPr="008D777B" w:rsidRDefault="004C78C0" w:rsidP="00654255">
            <w:pPr>
              <w:jc w:val="right"/>
              <w:rPr>
                <w:rFonts w:cstheme="minorHAnsi"/>
                <w:color w:val="000000"/>
              </w:rPr>
            </w:pPr>
            <w:r w:rsidRPr="008D777B">
              <w:rPr>
                <w:color w:val="000000"/>
              </w:rPr>
              <w:t>933,8</w:t>
            </w:r>
          </w:p>
        </w:tc>
        <w:tc>
          <w:tcPr>
            <w:tcW w:w="952" w:type="dxa"/>
            <w:tcBorders>
              <w:top w:val="nil"/>
              <w:left w:val="nil"/>
              <w:bottom w:val="single" w:sz="4" w:space="0" w:color="auto"/>
              <w:right w:val="single" w:sz="4" w:space="0" w:color="auto"/>
            </w:tcBorders>
            <w:shd w:val="clear" w:color="auto" w:fill="auto"/>
            <w:noWrap/>
            <w:vAlign w:val="center"/>
            <w:hideMark/>
          </w:tcPr>
          <w:p w14:paraId="37F29231" w14:textId="77777777" w:rsidR="004C78C0" w:rsidRPr="008D777B" w:rsidRDefault="004C78C0" w:rsidP="00654255">
            <w:pPr>
              <w:jc w:val="right"/>
              <w:rPr>
                <w:rFonts w:cstheme="minorHAnsi"/>
                <w:b/>
                <w:bCs/>
                <w:color w:val="000000"/>
              </w:rPr>
            </w:pPr>
            <w:r w:rsidRPr="008D777B">
              <w:rPr>
                <w:b/>
                <w:color w:val="000000"/>
              </w:rPr>
              <w:t>14,9 %</w:t>
            </w:r>
          </w:p>
        </w:tc>
        <w:tc>
          <w:tcPr>
            <w:tcW w:w="953" w:type="dxa"/>
            <w:tcBorders>
              <w:top w:val="nil"/>
              <w:left w:val="nil"/>
              <w:bottom w:val="single" w:sz="4" w:space="0" w:color="auto"/>
              <w:right w:val="single" w:sz="4" w:space="0" w:color="auto"/>
            </w:tcBorders>
            <w:shd w:val="clear" w:color="auto" w:fill="auto"/>
            <w:noWrap/>
            <w:vAlign w:val="center"/>
            <w:hideMark/>
          </w:tcPr>
          <w:p w14:paraId="6FDF2AEE" w14:textId="77777777" w:rsidR="004C78C0" w:rsidRPr="008D777B" w:rsidRDefault="004C78C0" w:rsidP="00654255">
            <w:pPr>
              <w:jc w:val="right"/>
              <w:rPr>
                <w:rFonts w:cstheme="minorHAnsi"/>
                <w:color w:val="000000"/>
              </w:rPr>
            </w:pPr>
            <w:r w:rsidRPr="008D777B">
              <w:rPr>
                <w:color w:val="000000"/>
              </w:rPr>
              <w:t>483,4</w:t>
            </w:r>
          </w:p>
        </w:tc>
        <w:tc>
          <w:tcPr>
            <w:tcW w:w="952" w:type="dxa"/>
            <w:tcBorders>
              <w:top w:val="nil"/>
              <w:left w:val="nil"/>
              <w:bottom w:val="single" w:sz="4" w:space="0" w:color="auto"/>
              <w:right w:val="single" w:sz="4" w:space="0" w:color="auto"/>
            </w:tcBorders>
            <w:shd w:val="clear" w:color="000000" w:fill="FFFFFF"/>
            <w:noWrap/>
            <w:vAlign w:val="center"/>
            <w:hideMark/>
          </w:tcPr>
          <w:p w14:paraId="5F7ED117" w14:textId="77777777" w:rsidR="004C78C0" w:rsidRPr="008D777B" w:rsidRDefault="004C78C0" w:rsidP="00654255">
            <w:pPr>
              <w:jc w:val="right"/>
              <w:rPr>
                <w:rFonts w:cstheme="minorHAnsi"/>
                <w:color w:val="000000"/>
              </w:rPr>
            </w:pPr>
            <w:r w:rsidRPr="008D777B">
              <w:rPr>
                <w:color w:val="000000"/>
              </w:rPr>
              <w:t>492,7</w:t>
            </w:r>
          </w:p>
        </w:tc>
        <w:tc>
          <w:tcPr>
            <w:tcW w:w="952" w:type="dxa"/>
            <w:tcBorders>
              <w:top w:val="nil"/>
              <w:left w:val="nil"/>
              <w:bottom w:val="single" w:sz="4" w:space="0" w:color="auto"/>
              <w:right w:val="nil"/>
            </w:tcBorders>
            <w:shd w:val="clear" w:color="auto" w:fill="auto"/>
            <w:noWrap/>
            <w:vAlign w:val="center"/>
            <w:hideMark/>
          </w:tcPr>
          <w:p w14:paraId="1F283719" w14:textId="77777777" w:rsidR="004C78C0" w:rsidRPr="008D777B" w:rsidRDefault="004C78C0" w:rsidP="00654255">
            <w:pPr>
              <w:jc w:val="right"/>
              <w:rPr>
                <w:rFonts w:cstheme="minorHAnsi"/>
                <w:color w:val="000000"/>
              </w:rPr>
            </w:pPr>
            <w:r w:rsidRPr="008D777B">
              <w:rPr>
                <w:color w:val="000000"/>
              </w:rPr>
              <w:t>1,9 %</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64D68875" w14:textId="77777777" w:rsidR="004C78C0" w:rsidRPr="008D777B" w:rsidRDefault="004C78C0" w:rsidP="00654255">
            <w:pPr>
              <w:jc w:val="right"/>
              <w:rPr>
                <w:rFonts w:cstheme="minorHAnsi"/>
                <w:color w:val="000000"/>
              </w:rPr>
            </w:pPr>
            <w:r w:rsidRPr="008D777B">
              <w:rPr>
                <w:color w:val="000000"/>
              </w:rPr>
              <w:t>+15,8 %</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153DCA32" w14:textId="77777777" w:rsidR="004C78C0" w:rsidRPr="008D777B" w:rsidRDefault="004C78C0" w:rsidP="00654255">
            <w:pPr>
              <w:jc w:val="right"/>
              <w:rPr>
                <w:rFonts w:cstheme="minorHAnsi"/>
                <w:b/>
                <w:bCs/>
              </w:rPr>
            </w:pPr>
            <w:r w:rsidRPr="008D777B">
              <w:rPr>
                <w:b/>
              </w:rPr>
              <w:t>-14 %</w:t>
            </w:r>
          </w:p>
        </w:tc>
      </w:tr>
      <w:tr w:rsidR="004C78C0" w:rsidRPr="008D777B" w14:paraId="46760FF8" w14:textId="77777777" w:rsidTr="00654255">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4D6902F" w14:textId="77777777" w:rsidR="004C78C0" w:rsidRPr="008D777B" w:rsidRDefault="004C78C0" w:rsidP="00654255">
            <w:pPr>
              <w:rPr>
                <w:rFonts w:cstheme="minorHAnsi"/>
                <w:color w:val="000000"/>
              </w:rPr>
            </w:pPr>
            <w:r w:rsidRPr="008D777B">
              <w:rPr>
                <w:color w:val="000000"/>
              </w:rPr>
              <w:t>Meubles de bureau et de magasin</w:t>
            </w:r>
          </w:p>
        </w:tc>
        <w:tc>
          <w:tcPr>
            <w:tcW w:w="952" w:type="dxa"/>
            <w:tcBorders>
              <w:top w:val="nil"/>
              <w:left w:val="nil"/>
              <w:bottom w:val="single" w:sz="4" w:space="0" w:color="auto"/>
              <w:right w:val="nil"/>
            </w:tcBorders>
            <w:shd w:val="clear" w:color="auto" w:fill="auto"/>
            <w:noWrap/>
            <w:vAlign w:val="center"/>
            <w:hideMark/>
          </w:tcPr>
          <w:p w14:paraId="66664EFC" w14:textId="77777777" w:rsidR="004C78C0" w:rsidRPr="008D777B" w:rsidRDefault="004C78C0" w:rsidP="00654255">
            <w:pPr>
              <w:jc w:val="right"/>
              <w:rPr>
                <w:rFonts w:cstheme="minorHAnsi"/>
                <w:color w:val="000000"/>
              </w:rPr>
            </w:pPr>
            <w:r w:rsidRPr="008D777B">
              <w:rPr>
                <w:color w:val="000000"/>
              </w:rPr>
              <w:t>430,8</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DF119BF" w14:textId="77777777" w:rsidR="004C78C0" w:rsidRPr="008D777B" w:rsidRDefault="004C78C0" w:rsidP="00654255">
            <w:pPr>
              <w:jc w:val="right"/>
              <w:rPr>
                <w:rFonts w:cstheme="minorHAnsi"/>
                <w:color w:val="000000"/>
              </w:rPr>
            </w:pPr>
            <w:r w:rsidRPr="008D777B">
              <w:rPr>
                <w:color w:val="000000"/>
              </w:rPr>
              <w:t>489,6</w:t>
            </w:r>
          </w:p>
        </w:tc>
        <w:tc>
          <w:tcPr>
            <w:tcW w:w="952" w:type="dxa"/>
            <w:tcBorders>
              <w:top w:val="nil"/>
              <w:left w:val="nil"/>
              <w:bottom w:val="single" w:sz="4" w:space="0" w:color="auto"/>
              <w:right w:val="single" w:sz="4" w:space="0" w:color="auto"/>
            </w:tcBorders>
            <w:shd w:val="clear" w:color="auto" w:fill="auto"/>
            <w:noWrap/>
            <w:vAlign w:val="center"/>
            <w:hideMark/>
          </w:tcPr>
          <w:p w14:paraId="2575AC6C" w14:textId="77777777" w:rsidR="004C78C0" w:rsidRPr="008D777B" w:rsidRDefault="004C78C0" w:rsidP="00654255">
            <w:pPr>
              <w:jc w:val="right"/>
              <w:rPr>
                <w:rFonts w:cstheme="minorHAnsi"/>
                <w:b/>
                <w:bCs/>
                <w:color w:val="000000"/>
              </w:rPr>
            </w:pPr>
            <w:r w:rsidRPr="008D777B">
              <w:rPr>
                <w:b/>
                <w:color w:val="000000"/>
              </w:rPr>
              <w:t>13,6 %</w:t>
            </w:r>
          </w:p>
        </w:tc>
        <w:tc>
          <w:tcPr>
            <w:tcW w:w="953" w:type="dxa"/>
            <w:tcBorders>
              <w:top w:val="nil"/>
              <w:left w:val="nil"/>
              <w:bottom w:val="single" w:sz="4" w:space="0" w:color="auto"/>
              <w:right w:val="single" w:sz="4" w:space="0" w:color="auto"/>
            </w:tcBorders>
            <w:shd w:val="clear" w:color="auto" w:fill="auto"/>
            <w:noWrap/>
            <w:vAlign w:val="center"/>
            <w:hideMark/>
          </w:tcPr>
          <w:p w14:paraId="2E6484C6" w14:textId="77777777" w:rsidR="004C78C0" w:rsidRPr="008D777B" w:rsidRDefault="004C78C0" w:rsidP="00654255">
            <w:pPr>
              <w:jc w:val="right"/>
              <w:rPr>
                <w:rFonts w:cstheme="minorHAnsi"/>
                <w:color w:val="000000"/>
              </w:rPr>
            </w:pPr>
            <w:r w:rsidRPr="008D777B">
              <w:rPr>
                <w:color w:val="000000"/>
              </w:rPr>
              <w:t>226,9</w:t>
            </w:r>
          </w:p>
        </w:tc>
        <w:tc>
          <w:tcPr>
            <w:tcW w:w="952" w:type="dxa"/>
            <w:tcBorders>
              <w:top w:val="nil"/>
              <w:left w:val="nil"/>
              <w:bottom w:val="single" w:sz="4" w:space="0" w:color="auto"/>
              <w:right w:val="single" w:sz="4" w:space="0" w:color="auto"/>
            </w:tcBorders>
            <w:shd w:val="clear" w:color="000000" w:fill="FFFFFF"/>
            <w:noWrap/>
            <w:vAlign w:val="center"/>
            <w:hideMark/>
          </w:tcPr>
          <w:p w14:paraId="61467C17" w14:textId="77777777" w:rsidR="004C78C0" w:rsidRPr="008D777B" w:rsidRDefault="004C78C0" w:rsidP="00654255">
            <w:pPr>
              <w:jc w:val="right"/>
              <w:rPr>
                <w:rFonts w:cstheme="minorHAnsi"/>
                <w:color w:val="000000"/>
              </w:rPr>
            </w:pPr>
            <w:r w:rsidRPr="008D777B">
              <w:rPr>
                <w:color w:val="000000"/>
              </w:rPr>
              <w:t>289,6</w:t>
            </w:r>
          </w:p>
        </w:tc>
        <w:tc>
          <w:tcPr>
            <w:tcW w:w="952" w:type="dxa"/>
            <w:tcBorders>
              <w:top w:val="nil"/>
              <w:left w:val="nil"/>
              <w:bottom w:val="single" w:sz="4" w:space="0" w:color="auto"/>
              <w:right w:val="nil"/>
            </w:tcBorders>
            <w:shd w:val="clear" w:color="auto" w:fill="auto"/>
            <w:noWrap/>
            <w:vAlign w:val="center"/>
            <w:hideMark/>
          </w:tcPr>
          <w:p w14:paraId="6813683A" w14:textId="77777777" w:rsidR="004C78C0" w:rsidRPr="008D777B" w:rsidRDefault="004C78C0" w:rsidP="00654255">
            <w:pPr>
              <w:jc w:val="right"/>
              <w:rPr>
                <w:rFonts w:cstheme="minorHAnsi"/>
                <w:color w:val="000000"/>
              </w:rPr>
            </w:pPr>
            <w:r w:rsidRPr="008D777B">
              <w:rPr>
                <w:color w:val="000000"/>
              </w:rPr>
              <w:t>27,6 %</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4B926C29" w14:textId="77777777" w:rsidR="004C78C0" w:rsidRPr="008D777B" w:rsidRDefault="004C78C0" w:rsidP="00654255">
            <w:pPr>
              <w:jc w:val="right"/>
              <w:rPr>
                <w:rFonts w:cstheme="minorHAnsi"/>
                <w:color w:val="000000"/>
              </w:rPr>
            </w:pPr>
            <w:r w:rsidRPr="008D777B">
              <w:rPr>
                <w:color w:val="000000"/>
              </w:rPr>
              <w:t>+28,6 %</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B4C3ABC" w14:textId="77777777" w:rsidR="004C78C0" w:rsidRPr="008D777B" w:rsidRDefault="004C78C0" w:rsidP="00654255">
            <w:pPr>
              <w:jc w:val="right"/>
              <w:rPr>
                <w:rFonts w:cstheme="minorHAnsi"/>
                <w:b/>
                <w:bCs/>
              </w:rPr>
            </w:pPr>
            <w:r w:rsidRPr="008D777B">
              <w:rPr>
                <w:b/>
              </w:rPr>
              <w:t>-1 %</w:t>
            </w:r>
          </w:p>
        </w:tc>
      </w:tr>
      <w:tr w:rsidR="004C78C0" w:rsidRPr="008D777B" w14:paraId="04E78487" w14:textId="77777777" w:rsidTr="00654255">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A4F767C" w14:textId="77777777" w:rsidR="004C78C0" w:rsidRPr="008D777B" w:rsidRDefault="004C78C0" w:rsidP="00654255">
            <w:pPr>
              <w:rPr>
                <w:rFonts w:cstheme="minorHAnsi"/>
                <w:color w:val="000000"/>
              </w:rPr>
            </w:pPr>
            <w:r w:rsidRPr="008D777B">
              <w:rPr>
                <w:color w:val="000000"/>
              </w:rPr>
              <w:t>Meubles de cuisine</w:t>
            </w:r>
          </w:p>
        </w:tc>
        <w:tc>
          <w:tcPr>
            <w:tcW w:w="952" w:type="dxa"/>
            <w:tcBorders>
              <w:top w:val="nil"/>
              <w:left w:val="nil"/>
              <w:bottom w:val="single" w:sz="4" w:space="0" w:color="auto"/>
              <w:right w:val="nil"/>
            </w:tcBorders>
            <w:shd w:val="clear" w:color="auto" w:fill="auto"/>
            <w:noWrap/>
            <w:vAlign w:val="center"/>
            <w:hideMark/>
          </w:tcPr>
          <w:p w14:paraId="15814146" w14:textId="77777777" w:rsidR="004C78C0" w:rsidRPr="008D777B" w:rsidRDefault="004C78C0" w:rsidP="00654255">
            <w:pPr>
              <w:jc w:val="right"/>
              <w:rPr>
                <w:rFonts w:cstheme="minorHAnsi"/>
                <w:color w:val="000000"/>
              </w:rPr>
            </w:pPr>
            <w:r w:rsidRPr="008D777B">
              <w:rPr>
                <w:color w:val="000000"/>
              </w:rPr>
              <w:t>429,4</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1AB1E62F" w14:textId="77777777" w:rsidR="004C78C0" w:rsidRPr="008D777B" w:rsidRDefault="004C78C0" w:rsidP="00654255">
            <w:pPr>
              <w:jc w:val="right"/>
              <w:rPr>
                <w:rFonts w:cstheme="minorHAnsi"/>
                <w:color w:val="000000"/>
              </w:rPr>
            </w:pPr>
            <w:r w:rsidRPr="008D777B">
              <w:rPr>
                <w:color w:val="000000"/>
              </w:rPr>
              <w:t>482,9</w:t>
            </w:r>
          </w:p>
        </w:tc>
        <w:tc>
          <w:tcPr>
            <w:tcW w:w="952" w:type="dxa"/>
            <w:tcBorders>
              <w:top w:val="nil"/>
              <w:left w:val="nil"/>
              <w:bottom w:val="single" w:sz="4" w:space="0" w:color="auto"/>
              <w:right w:val="single" w:sz="4" w:space="0" w:color="auto"/>
            </w:tcBorders>
            <w:shd w:val="clear" w:color="auto" w:fill="auto"/>
            <w:noWrap/>
            <w:vAlign w:val="center"/>
            <w:hideMark/>
          </w:tcPr>
          <w:p w14:paraId="35D8650D" w14:textId="77777777" w:rsidR="004C78C0" w:rsidRPr="008D777B" w:rsidRDefault="004C78C0" w:rsidP="00654255">
            <w:pPr>
              <w:jc w:val="right"/>
              <w:rPr>
                <w:rFonts w:cstheme="minorHAnsi"/>
                <w:b/>
                <w:bCs/>
                <w:color w:val="000000"/>
              </w:rPr>
            </w:pPr>
            <w:r w:rsidRPr="008D777B">
              <w:rPr>
                <w:b/>
                <w:color w:val="000000"/>
              </w:rPr>
              <w:t>12,5 %</w:t>
            </w:r>
          </w:p>
        </w:tc>
        <w:tc>
          <w:tcPr>
            <w:tcW w:w="953" w:type="dxa"/>
            <w:tcBorders>
              <w:top w:val="nil"/>
              <w:left w:val="nil"/>
              <w:bottom w:val="single" w:sz="4" w:space="0" w:color="auto"/>
              <w:right w:val="single" w:sz="4" w:space="0" w:color="auto"/>
            </w:tcBorders>
            <w:shd w:val="clear" w:color="auto" w:fill="auto"/>
            <w:noWrap/>
            <w:vAlign w:val="center"/>
            <w:hideMark/>
          </w:tcPr>
          <w:p w14:paraId="49A9849B" w14:textId="77777777" w:rsidR="004C78C0" w:rsidRPr="008D777B" w:rsidRDefault="004C78C0" w:rsidP="00654255">
            <w:pPr>
              <w:jc w:val="right"/>
              <w:rPr>
                <w:rFonts w:cstheme="minorHAnsi"/>
                <w:color w:val="000000"/>
              </w:rPr>
            </w:pPr>
            <w:r w:rsidRPr="008D777B">
              <w:rPr>
                <w:color w:val="000000"/>
              </w:rPr>
              <w:t>242,5</w:t>
            </w:r>
          </w:p>
        </w:tc>
        <w:tc>
          <w:tcPr>
            <w:tcW w:w="952" w:type="dxa"/>
            <w:tcBorders>
              <w:top w:val="nil"/>
              <w:left w:val="nil"/>
              <w:bottom w:val="single" w:sz="4" w:space="0" w:color="auto"/>
              <w:right w:val="single" w:sz="4" w:space="0" w:color="auto"/>
            </w:tcBorders>
            <w:shd w:val="clear" w:color="000000" w:fill="FFFFFF"/>
            <w:noWrap/>
            <w:vAlign w:val="center"/>
            <w:hideMark/>
          </w:tcPr>
          <w:p w14:paraId="075102D5" w14:textId="77777777" w:rsidR="004C78C0" w:rsidRPr="008D777B" w:rsidRDefault="004C78C0" w:rsidP="00654255">
            <w:pPr>
              <w:jc w:val="right"/>
              <w:rPr>
                <w:rFonts w:cstheme="minorHAnsi"/>
                <w:color w:val="000000"/>
              </w:rPr>
            </w:pPr>
            <w:r w:rsidRPr="008D777B">
              <w:rPr>
                <w:color w:val="000000"/>
              </w:rPr>
              <w:t>263,7</w:t>
            </w:r>
          </w:p>
        </w:tc>
        <w:tc>
          <w:tcPr>
            <w:tcW w:w="952" w:type="dxa"/>
            <w:tcBorders>
              <w:top w:val="nil"/>
              <w:left w:val="nil"/>
              <w:bottom w:val="single" w:sz="4" w:space="0" w:color="auto"/>
              <w:right w:val="nil"/>
            </w:tcBorders>
            <w:shd w:val="clear" w:color="auto" w:fill="auto"/>
            <w:noWrap/>
            <w:vAlign w:val="center"/>
            <w:hideMark/>
          </w:tcPr>
          <w:p w14:paraId="49E654A9" w14:textId="77777777" w:rsidR="004C78C0" w:rsidRPr="008D777B" w:rsidRDefault="004C78C0" w:rsidP="00654255">
            <w:pPr>
              <w:jc w:val="right"/>
              <w:rPr>
                <w:rFonts w:cstheme="minorHAnsi"/>
                <w:color w:val="000000"/>
              </w:rPr>
            </w:pPr>
            <w:r w:rsidRPr="008D777B">
              <w:rPr>
                <w:color w:val="000000"/>
              </w:rPr>
              <w:t>8,7 %</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244AA27A" w14:textId="77777777" w:rsidR="004C78C0" w:rsidRPr="008D777B" w:rsidRDefault="004C78C0" w:rsidP="00654255">
            <w:pPr>
              <w:jc w:val="right"/>
              <w:rPr>
                <w:rFonts w:cstheme="minorHAnsi"/>
                <w:color w:val="000000"/>
              </w:rPr>
            </w:pPr>
            <w:r w:rsidRPr="008D777B">
              <w:rPr>
                <w:color w:val="000000"/>
              </w:rPr>
              <w:t>+8,8 %</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5E47D5F2" w14:textId="77777777" w:rsidR="004C78C0" w:rsidRPr="008D777B" w:rsidRDefault="004C78C0" w:rsidP="00654255">
            <w:pPr>
              <w:jc w:val="right"/>
              <w:rPr>
                <w:rFonts w:cstheme="minorHAnsi"/>
                <w:b/>
                <w:bCs/>
              </w:rPr>
            </w:pPr>
            <w:proofErr w:type="spellStart"/>
            <w:r w:rsidRPr="008D777B">
              <w:rPr>
                <w:b/>
              </w:rPr>
              <w:t>sq</w:t>
            </w:r>
            <w:proofErr w:type="spellEnd"/>
          </w:p>
        </w:tc>
      </w:tr>
      <w:tr w:rsidR="004C78C0" w:rsidRPr="008D777B" w14:paraId="20F14079" w14:textId="77777777" w:rsidTr="00654255">
        <w:trPr>
          <w:trHeight w:val="36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0D3D9D4" w14:textId="77777777" w:rsidR="004C78C0" w:rsidRPr="008D777B" w:rsidRDefault="004C78C0" w:rsidP="00654255">
            <w:pPr>
              <w:rPr>
                <w:rFonts w:cstheme="minorHAnsi"/>
                <w:color w:val="000000"/>
              </w:rPr>
            </w:pPr>
            <w:r w:rsidRPr="008D777B">
              <w:rPr>
                <w:color w:val="000000"/>
              </w:rPr>
              <w:t>Matelas et sommiers</w:t>
            </w:r>
          </w:p>
        </w:tc>
        <w:tc>
          <w:tcPr>
            <w:tcW w:w="952" w:type="dxa"/>
            <w:tcBorders>
              <w:top w:val="nil"/>
              <w:left w:val="nil"/>
              <w:bottom w:val="single" w:sz="4" w:space="0" w:color="auto"/>
              <w:right w:val="single" w:sz="4" w:space="0" w:color="auto"/>
            </w:tcBorders>
            <w:shd w:val="clear" w:color="auto" w:fill="auto"/>
            <w:noWrap/>
            <w:vAlign w:val="center"/>
            <w:hideMark/>
          </w:tcPr>
          <w:p w14:paraId="1A5868FE" w14:textId="77777777" w:rsidR="004C78C0" w:rsidRPr="008D777B" w:rsidRDefault="004C78C0" w:rsidP="00654255">
            <w:pPr>
              <w:jc w:val="right"/>
              <w:rPr>
                <w:rFonts w:cstheme="minorHAnsi"/>
                <w:color w:val="000000"/>
              </w:rPr>
            </w:pPr>
            <w:r w:rsidRPr="008D777B">
              <w:rPr>
                <w:color w:val="000000"/>
              </w:rPr>
              <w:t>394,1</w:t>
            </w:r>
          </w:p>
        </w:tc>
        <w:tc>
          <w:tcPr>
            <w:tcW w:w="952" w:type="dxa"/>
            <w:tcBorders>
              <w:top w:val="nil"/>
              <w:left w:val="nil"/>
              <w:bottom w:val="single" w:sz="4" w:space="0" w:color="auto"/>
              <w:right w:val="single" w:sz="4" w:space="0" w:color="auto"/>
            </w:tcBorders>
            <w:shd w:val="clear" w:color="auto" w:fill="auto"/>
            <w:noWrap/>
            <w:vAlign w:val="center"/>
            <w:hideMark/>
          </w:tcPr>
          <w:p w14:paraId="4CC09CFB" w14:textId="77777777" w:rsidR="004C78C0" w:rsidRPr="008D777B" w:rsidRDefault="004C78C0" w:rsidP="00654255">
            <w:pPr>
              <w:jc w:val="right"/>
              <w:rPr>
                <w:rFonts w:cstheme="minorHAnsi"/>
                <w:color w:val="000000"/>
              </w:rPr>
            </w:pPr>
            <w:r w:rsidRPr="008D777B">
              <w:rPr>
                <w:color w:val="000000"/>
              </w:rPr>
              <w:t>365,8</w:t>
            </w:r>
          </w:p>
        </w:tc>
        <w:tc>
          <w:tcPr>
            <w:tcW w:w="952" w:type="dxa"/>
            <w:tcBorders>
              <w:top w:val="nil"/>
              <w:left w:val="nil"/>
              <w:bottom w:val="single" w:sz="4" w:space="0" w:color="auto"/>
              <w:right w:val="single" w:sz="4" w:space="0" w:color="auto"/>
            </w:tcBorders>
            <w:shd w:val="clear" w:color="auto" w:fill="auto"/>
            <w:noWrap/>
            <w:vAlign w:val="center"/>
            <w:hideMark/>
          </w:tcPr>
          <w:p w14:paraId="145338AE" w14:textId="77777777" w:rsidR="004C78C0" w:rsidRPr="008D777B" w:rsidRDefault="004C78C0" w:rsidP="00654255">
            <w:pPr>
              <w:jc w:val="right"/>
              <w:rPr>
                <w:rFonts w:cstheme="minorHAnsi"/>
                <w:b/>
                <w:bCs/>
                <w:color w:val="000000"/>
              </w:rPr>
            </w:pPr>
            <w:r w:rsidRPr="008D777B">
              <w:rPr>
                <w:b/>
                <w:color w:val="000000"/>
              </w:rPr>
              <w:t>-7,2 %</w:t>
            </w:r>
          </w:p>
        </w:tc>
        <w:tc>
          <w:tcPr>
            <w:tcW w:w="953" w:type="dxa"/>
            <w:tcBorders>
              <w:top w:val="nil"/>
              <w:left w:val="nil"/>
              <w:bottom w:val="single" w:sz="4" w:space="0" w:color="auto"/>
              <w:right w:val="single" w:sz="4" w:space="0" w:color="auto"/>
            </w:tcBorders>
            <w:shd w:val="clear" w:color="auto" w:fill="auto"/>
            <w:noWrap/>
            <w:vAlign w:val="center"/>
            <w:hideMark/>
          </w:tcPr>
          <w:p w14:paraId="57B2297A" w14:textId="77777777" w:rsidR="004C78C0" w:rsidRPr="008D777B" w:rsidRDefault="004C78C0" w:rsidP="00654255">
            <w:pPr>
              <w:jc w:val="right"/>
              <w:rPr>
                <w:rFonts w:cstheme="minorHAnsi"/>
                <w:color w:val="000000"/>
              </w:rPr>
            </w:pPr>
            <w:r w:rsidRPr="008D777B">
              <w:rPr>
                <w:color w:val="000000"/>
              </w:rPr>
              <w:t>203,9</w:t>
            </w:r>
          </w:p>
        </w:tc>
        <w:tc>
          <w:tcPr>
            <w:tcW w:w="952" w:type="dxa"/>
            <w:tcBorders>
              <w:top w:val="nil"/>
              <w:left w:val="nil"/>
              <w:bottom w:val="single" w:sz="4" w:space="0" w:color="auto"/>
              <w:right w:val="single" w:sz="4" w:space="0" w:color="auto"/>
            </w:tcBorders>
            <w:shd w:val="clear" w:color="000000" w:fill="FFFFFF"/>
            <w:noWrap/>
            <w:vAlign w:val="center"/>
            <w:hideMark/>
          </w:tcPr>
          <w:p w14:paraId="68EE04FC" w14:textId="77777777" w:rsidR="004C78C0" w:rsidRPr="008D777B" w:rsidRDefault="004C78C0" w:rsidP="00654255">
            <w:pPr>
              <w:jc w:val="right"/>
              <w:rPr>
                <w:rFonts w:cstheme="minorHAnsi"/>
                <w:color w:val="000000"/>
              </w:rPr>
            </w:pPr>
            <w:r w:rsidRPr="008D777B">
              <w:rPr>
                <w:color w:val="000000"/>
              </w:rPr>
              <w:t>144,5</w:t>
            </w:r>
          </w:p>
        </w:tc>
        <w:tc>
          <w:tcPr>
            <w:tcW w:w="952" w:type="dxa"/>
            <w:tcBorders>
              <w:top w:val="nil"/>
              <w:left w:val="nil"/>
              <w:bottom w:val="single" w:sz="4" w:space="0" w:color="auto"/>
              <w:right w:val="nil"/>
            </w:tcBorders>
            <w:shd w:val="clear" w:color="auto" w:fill="auto"/>
            <w:noWrap/>
            <w:vAlign w:val="center"/>
            <w:hideMark/>
          </w:tcPr>
          <w:p w14:paraId="0E422552" w14:textId="77777777" w:rsidR="004C78C0" w:rsidRPr="008D777B" w:rsidRDefault="004C78C0" w:rsidP="00654255">
            <w:pPr>
              <w:jc w:val="right"/>
              <w:rPr>
                <w:rFonts w:cstheme="minorHAnsi"/>
                <w:color w:val="000000"/>
              </w:rPr>
            </w:pPr>
            <w:r w:rsidRPr="008D777B">
              <w:rPr>
                <w:color w:val="000000"/>
              </w:rPr>
              <w:t>-29,1 %</w:t>
            </w:r>
          </w:p>
        </w:tc>
        <w:tc>
          <w:tcPr>
            <w:tcW w:w="952" w:type="dxa"/>
            <w:tcBorders>
              <w:top w:val="nil"/>
              <w:left w:val="single" w:sz="12" w:space="0" w:color="auto"/>
              <w:bottom w:val="single" w:sz="4" w:space="0" w:color="auto"/>
              <w:right w:val="single" w:sz="4" w:space="0" w:color="auto"/>
            </w:tcBorders>
            <w:shd w:val="clear" w:color="auto" w:fill="auto"/>
            <w:noWrap/>
            <w:vAlign w:val="center"/>
            <w:hideMark/>
          </w:tcPr>
          <w:p w14:paraId="1A9E723D" w14:textId="77777777" w:rsidR="004C78C0" w:rsidRPr="008D777B" w:rsidRDefault="004C78C0" w:rsidP="00654255">
            <w:pPr>
              <w:jc w:val="right"/>
              <w:rPr>
                <w:rFonts w:cstheme="minorHAnsi"/>
                <w:color w:val="000000"/>
              </w:rPr>
            </w:pPr>
            <w:r w:rsidRPr="008D777B">
              <w:rPr>
                <w:color w:val="000000"/>
              </w:rPr>
              <w:t>+2,6 %</w:t>
            </w:r>
          </w:p>
        </w:tc>
        <w:tc>
          <w:tcPr>
            <w:tcW w:w="953"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B915185" w14:textId="77777777" w:rsidR="004C78C0" w:rsidRPr="008D777B" w:rsidRDefault="004C78C0" w:rsidP="00654255">
            <w:pPr>
              <w:jc w:val="right"/>
              <w:rPr>
                <w:rFonts w:cstheme="minorHAnsi"/>
                <w:b/>
                <w:bCs/>
              </w:rPr>
            </w:pPr>
            <w:r w:rsidRPr="008D777B">
              <w:rPr>
                <w:b/>
              </w:rPr>
              <w:t>-26,5 %</w:t>
            </w:r>
          </w:p>
        </w:tc>
      </w:tr>
      <w:tr w:rsidR="004C78C0" w:rsidRPr="008D777B" w14:paraId="144421A3" w14:textId="77777777" w:rsidTr="00654255">
        <w:trPr>
          <w:trHeight w:val="360"/>
        </w:trPr>
        <w:tc>
          <w:tcPr>
            <w:tcW w:w="2835" w:type="dxa"/>
            <w:tcBorders>
              <w:top w:val="nil"/>
              <w:left w:val="single" w:sz="4" w:space="0" w:color="auto"/>
              <w:bottom w:val="single" w:sz="4" w:space="0" w:color="auto"/>
              <w:right w:val="single" w:sz="4" w:space="0" w:color="auto"/>
            </w:tcBorders>
            <w:shd w:val="clear" w:color="auto" w:fill="FFC000"/>
            <w:noWrap/>
            <w:vAlign w:val="center"/>
            <w:hideMark/>
          </w:tcPr>
          <w:p w14:paraId="62431DAC" w14:textId="77777777" w:rsidR="004C78C0" w:rsidRPr="008D777B" w:rsidRDefault="004C78C0" w:rsidP="00654255">
            <w:pPr>
              <w:rPr>
                <w:rFonts w:cstheme="minorHAnsi"/>
                <w:color w:val="000000"/>
              </w:rPr>
            </w:pPr>
            <w:r w:rsidRPr="008D777B">
              <w:rPr>
                <w:color w:val="000000"/>
              </w:rPr>
              <w:t>Industrie de l’ameublement</w:t>
            </w:r>
          </w:p>
        </w:tc>
        <w:tc>
          <w:tcPr>
            <w:tcW w:w="952" w:type="dxa"/>
            <w:tcBorders>
              <w:top w:val="nil"/>
              <w:left w:val="nil"/>
              <w:bottom w:val="single" w:sz="4" w:space="0" w:color="auto"/>
              <w:right w:val="single" w:sz="4" w:space="0" w:color="auto"/>
            </w:tcBorders>
            <w:shd w:val="clear" w:color="auto" w:fill="FFC000"/>
            <w:noWrap/>
            <w:vAlign w:val="center"/>
            <w:hideMark/>
          </w:tcPr>
          <w:p w14:paraId="43D646C5" w14:textId="77777777" w:rsidR="004C78C0" w:rsidRPr="008D777B" w:rsidRDefault="004C78C0" w:rsidP="00654255">
            <w:pPr>
              <w:jc w:val="right"/>
              <w:rPr>
                <w:rFonts w:cstheme="minorHAnsi"/>
                <w:color w:val="000000"/>
              </w:rPr>
            </w:pPr>
            <w:r w:rsidRPr="008D777B">
              <w:rPr>
                <w:color w:val="000000"/>
              </w:rPr>
              <w:t>2.067,2</w:t>
            </w:r>
          </w:p>
        </w:tc>
        <w:tc>
          <w:tcPr>
            <w:tcW w:w="952" w:type="dxa"/>
            <w:tcBorders>
              <w:top w:val="nil"/>
              <w:left w:val="nil"/>
              <w:bottom w:val="single" w:sz="4" w:space="0" w:color="auto"/>
              <w:right w:val="single" w:sz="4" w:space="0" w:color="auto"/>
            </w:tcBorders>
            <w:shd w:val="clear" w:color="auto" w:fill="FFC000"/>
            <w:noWrap/>
            <w:vAlign w:val="center"/>
            <w:hideMark/>
          </w:tcPr>
          <w:p w14:paraId="0E65D401" w14:textId="77777777" w:rsidR="004C78C0" w:rsidRPr="008D777B" w:rsidRDefault="004C78C0" w:rsidP="00654255">
            <w:pPr>
              <w:jc w:val="right"/>
              <w:rPr>
                <w:rFonts w:cstheme="minorHAnsi"/>
                <w:color w:val="000000"/>
              </w:rPr>
            </w:pPr>
            <w:r w:rsidRPr="008D777B">
              <w:rPr>
                <w:color w:val="000000"/>
              </w:rPr>
              <w:t>2.272,1</w:t>
            </w:r>
          </w:p>
        </w:tc>
        <w:tc>
          <w:tcPr>
            <w:tcW w:w="952" w:type="dxa"/>
            <w:tcBorders>
              <w:top w:val="nil"/>
              <w:left w:val="nil"/>
              <w:bottom w:val="single" w:sz="4" w:space="0" w:color="auto"/>
              <w:right w:val="single" w:sz="4" w:space="0" w:color="auto"/>
            </w:tcBorders>
            <w:shd w:val="clear" w:color="auto" w:fill="FFC000"/>
            <w:noWrap/>
            <w:vAlign w:val="center"/>
            <w:hideMark/>
          </w:tcPr>
          <w:p w14:paraId="7382D512" w14:textId="77777777" w:rsidR="004C78C0" w:rsidRPr="008D777B" w:rsidRDefault="004C78C0" w:rsidP="00654255">
            <w:pPr>
              <w:jc w:val="right"/>
              <w:rPr>
                <w:rFonts w:cstheme="minorHAnsi"/>
                <w:b/>
                <w:bCs/>
                <w:color w:val="000000"/>
              </w:rPr>
            </w:pPr>
            <w:r w:rsidRPr="008D777B">
              <w:rPr>
                <w:b/>
                <w:color w:val="000000"/>
              </w:rPr>
              <w:t>9,9 %</w:t>
            </w:r>
          </w:p>
        </w:tc>
        <w:tc>
          <w:tcPr>
            <w:tcW w:w="953" w:type="dxa"/>
            <w:tcBorders>
              <w:top w:val="nil"/>
              <w:left w:val="nil"/>
              <w:bottom w:val="single" w:sz="4" w:space="0" w:color="auto"/>
              <w:right w:val="single" w:sz="4" w:space="0" w:color="auto"/>
            </w:tcBorders>
            <w:shd w:val="clear" w:color="auto" w:fill="FFC000"/>
            <w:noWrap/>
            <w:vAlign w:val="center"/>
            <w:hideMark/>
          </w:tcPr>
          <w:p w14:paraId="7D3501E8" w14:textId="77777777" w:rsidR="004C78C0" w:rsidRPr="008D777B" w:rsidRDefault="004C78C0" w:rsidP="00654255">
            <w:pPr>
              <w:jc w:val="right"/>
              <w:rPr>
                <w:rFonts w:cstheme="minorHAnsi"/>
                <w:color w:val="000000"/>
              </w:rPr>
            </w:pPr>
            <w:r w:rsidRPr="008D777B">
              <w:rPr>
                <w:color w:val="000000"/>
              </w:rPr>
              <w:t>1.156,7</w:t>
            </w:r>
          </w:p>
        </w:tc>
        <w:tc>
          <w:tcPr>
            <w:tcW w:w="952" w:type="dxa"/>
            <w:tcBorders>
              <w:top w:val="nil"/>
              <w:left w:val="nil"/>
              <w:bottom w:val="single" w:sz="4" w:space="0" w:color="auto"/>
              <w:right w:val="single" w:sz="4" w:space="0" w:color="auto"/>
            </w:tcBorders>
            <w:shd w:val="clear" w:color="auto" w:fill="FFC000"/>
            <w:noWrap/>
            <w:vAlign w:val="center"/>
            <w:hideMark/>
          </w:tcPr>
          <w:p w14:paraId="7597108C" w14:textId="77777777" w:rsidR="004C78C0" w:rsidRPr="008D777B" w:rsidRDefault="004C78C0" w:rsidP="00654255">
            <w:pPr>
              <w:jc w:val="right"/>
              <w:rPr>
                <w:rFonts w:cstheme="minorHAnsi"/>
                <w:color w:val="000000"/>
              </w:rPr>
            </w:pPr>
            <w:r w:rsidRPr="008D777B">
              <w:rPr>
                <w:color w:val="000000"/>
              </w:rPr>
              <w:t>1.190,5</w:t>
            </w:r>
          </w:p>
        </w:tc>
        <w:tc>
          <w:tcPr>
            <w:tcW w:w="952" w:type="dxa"/>
            <w:tcBorders>
              <w:top w:val="nil"/>
              <w:left w:val="nil"/>
              <w:bottom w:val="single" w:sz="4" w:space="0" w:color="auto"/>
              <w:right w:val="nil"/>
            </w:tcBorders>
            <w:shd w:val="clear" w:color="auto" w:fill="FFC000"/>
            <w:noWrap/>
            <w:vAlign w:val="center"/>
            <w:hideMark/>
          </w:tcPr>
          <w:p w14:paraId="3F62C106" w14:textId="77777777" w:rsidR="004C78C0" w:rsidRPr="008D777B" w:rsidRDefault="004C78C0" w:rsidP="00654255">
            <w:pPr>
              <w:jc w:val="right"/>
              <w:rPr>
                <w:rFonts w:cstheme="minorHAnsi"/>
                <w:color w:val="000000"/>
              </w:rPr>
            </w:pPr>
            <w:r w:rsidRPr="008D777B">
              <w:rPr>
                <w:color w:val="000000"/>
              </w:rPr>
              <w:t>2,9 %</w:t>
            </w:r>
          </w:p>
        </w:tc>
        <w:tc>
          <w:tcPr>
            <w:tcW w:w="952" w:type="dxa"/>
            <w:tcBorders>
              <w:top w:val="nil"/>
              <w:left w:val="single" w:sz="12" w:space="0" w:color="auto"/>
              <w:bottom w:val="single" w:sz="4" w:space="0" w:color="auto"/>
              <w:right w:val="single" w:sz="4" w:space="0" w:color="auto"/>
            </w:tcBorders>
            <w:shd w:val="clear" w:color="auto" w:fill="FFC000"/>
            <w:noWrap/>
            <w:vAlign w:val="center"/>
            <w:hideMark/>
          </w:tcPr>
          <w:p w14:paraId="4A93C7E3" w14:textId="77777777" w:rsidR="004C78C0" w:rsidRPr="008D777B" w:rsidRDefault="004C78C0" w:rsidP="00654255">
            <w:pPr>
              <w:jc w:val="right"/>
              <w:rPr>
                <w:rFonts w:cstheme="minorHAnsi"/>
                <w:color w:val="000000"/>
              </w:rPr>
            </w:pPr>
            <w:r w:rsidRPr="008D777B">
              <w:rPr>
                <w:color w:val="000000"/>
              </w:rPr>
              <w:t>+15,7 %</w:t>
            </w:r>
          </w:p>
        </w:tc>
        <w:tc>
          <w:tcPr>
            <w:tcW w:w="953" w:type="dxa"/>
            <w:tcBorders>
              <w:top w:val="nil"/>
              <w:left w:val="single" w:sz="12" w:space="0" w:color="auto"/>
              <w:bottom w:val="single" w:sz="4" w:space="0" w:color="auto"/>
              <w:right w:val="single" w:sz="4" w:space="0" w:color="auto"/>
            </w:tcBorders>
            <w:shd w:val="clear" w:color="auto" w:fill="FFC000"/>
            <w:noWrap/>
            <w:vAlign w:val="center"/>
            <w:hideMark/>
          </w:tcPr>
          <w:p w14:paraId="22683EF6" w14:textId="77777777" w:rsidR="004C78C0" w:rsidRPr="008D777B" w:rsidRDefault="004C78C0" w:rsidP="00654255">
            <w:pPr>
              <w:jc w:val="right"/>
              <w:rPr>
                <w:rFonts w:cstheme="minorHAnsi"/>
                <w:b/>
                <w:bCs/>
              </w:rPr>
            </w:pPr>
            <w:r w:rsidRPr="008D777B">
              <w:rPr>
                <w:b/>
              </w:rPr>
              <w:t>-13 %</w:t>
            </w:r>
          </w:p>
        </w:tc>
      </w:tr>
    </w:tbl>
    <w:p w14:paraId="14CB1B85" w14:textId="77777777" w:rsidR="004C78C0" w:rsidRPr="008D777B" w:rsidRDefault="004C78C0" w:rsidP="004C78C0">
      <w:pPr>
        <w:pStyle w:val="BodyText"/>
        <w:tabs>
          <w:tab w:val="clear" w:pos="3884"/>
          <w:tab w:val="left" w:pos="567"/>
        </w:tabs>
        <w:rPr>
          <w:rFonts w:asciiTheme="minorHAnsi" w:hAnsiTheme="minorHAnsi" w:cstheme="minorHAnsi"/>
          <w:sz w:val="16"/>
          <w:szCs w:val="10"/>
        </w:rPr>
      </w:pPr>
      <w:r w:rsidRPr="008D777B">
        <w:rPr>
          <w:rFonts w:asciiTheme="minorHAnsi" w:hAnsiTheme="minorHAnsi"/>
          <w:sz w:val="16"/>
        </w:rPr>
        <w:t>Source : SPF Economie, déclarations TVA</w:t>
      </w:r>
    </w:p>
    <w:p w14:paraId="4EEB84B9" w14:textId="77777777" w:rsidR="004C78C0" w:rsidRPr="008D777B" w:rsidRDefault="004C78C0" w:rsidP="004C78C0">
      <w:pPr>
        <w:pStyle w:val="BodyText"/>
        <w:tabs>
          <w:tab w:val="clear" w:pos="3884"/>
          <w:tab w:val="left" w:pos="567"/>
        </w:tabs>
        <w:rPr>
          <w:rFonts w:asciiTheme="minorHAnsi" w:hAnsiTheme="minorHAnsi" w:cstheme="minorHAnsi"/>
          <w:sz w:val="18"/>
        </w:rPr>
      </w:pPr>
      <w:r w:rsidRPr="008D777B">
        <w:rPr>
          <w:rFonts w:asciiTheme="minorHAnsi" w:hAnsiTheme="minorHAnsi"/>
          <w:sz w:val="18"/>
        </w:rPr>
        <w:t>* Données provisoires</w:t>
      </w:r>
    </w:p>
    <w:p w14:paraId="3C4F8B05" w14:textId="77777777" w:rsidR="004C78C0" w:rsidRPr="008D777B" w:rsidRDefault="004C78C0" w:rsidP="004C78C0">
      <w:pPr>
        <w:pStyle w:val="BodyText"/>
        <w:rPr>
          <w:rFonts w:asciiTheme="minorHAnsi" w:hAnsiTheme="minorHAnsi" w:cstheme="minorHAnsi"/>
          <w:szCs w:val="22"/>
        </w:rPr>
      </w:pPr>
    </w:p>
    <w:p w14:paraId="5295022D" w14:textId="77777777" w:rsidR="004C78C0" w:rsidRPr="004C78C0" w:rsidRDefault="004C78C0" w:rsidP="004C78C0">
      <w:pPr>
        <w:pStyle w:val="BodyText"/>
        <w:rPr>
          <w:rFonts w:asciiTheme="minorHAnsi" w:hAnsiTheme="minorHAnsi" w:cstheme="minorBidi"/>
          <w:lang w:val="fr-BE"/>
        </w:rPr>
      </w:pPr>
      <w:r w:rsidRPr="004C78C0">
        <w:rPr>
          <w:rFonts w:asciiTheme="minorHAnsi" w:hAnsiTheme="minorHAnsi"/>
          <w:lang w:val="fr-BE"/>
        </w:rPr>
        <w:t>Au premier semestre 2022, le chiffre d'affaires de l'industrie belge de l'ameublement s'élevait à 1.190,5 millions d'euros, soit une augmentation de 2,9 % comparativement au premier semestre 2021. Pendant la même période, les prix à la production ont cependant augmenté de 15,7 % de sorte qu'en termes réels (volume), nous observons une baisse de facto du chiffre d'affaires de 13 %. Par rapport à 2020, le chiffre d'affaires avait encore augmenté de 9,9 % en 2021.</w:t>
      </w:r>
    </w:p>
    <w:p w14:paraId="39815D80" w14:textId="77777777" w:rsidR="004C78C0" w:rsidRPr="004C78C0" w:rsidRDefault="004C78C0" w:rsidP="004C78C0">
      <w:pPr>
        <w:pStyle w:val="BodyText"/>
        <w:rPr>
          <w:rFonts w:asciiTheme="minorHAnsi" w:hAnsiTheme="minorHAnsi" w:cstheme="minorHAnsi"/>
          <w:szCs w:val="22"/>
          <w:lang w:val="fr-BE"/>
        </w:rPr>
      </w:pPr>
    </w:p>
    <w:p w14:paraId="32ECD995" w14:textId="77777777" w:rsidR="004C78C0" w:rsidRPr="004C78C0" w:rsidRDefault="004C78C0" w:rsidP="004C78C0">
      <w:pPr>
        <w:pStyle w:val="BodyText"/>
        <w:rPr>
          <w:rFonts w:asciiTheme="minorHAnsi" w:hAnsiTheme="minorHAnsi" w:cstheme="minorBidi"/>
          <w:lang w:val="fr-BE"/>
        </w:rPr>
      </w:pPr>
      <w:r w:rsidRPr="004C78C0">
        <w:rPr>
          <w:rFonts w:asciiTheme="minorHAnsi" w:hAnsiTheme="minorHAnsi"/>
          <w:lang w:val="fr-BE"/>
        </w:rPr>
        <w:t>Ces augmentations de prix sont imputables à l'augmentation des coûts des matières premières, des matériaux, de l'énergie et des coûts salariaux, attisée par l'inflation élevée et la guerre en Ukraine.</w:t>
      </w:r>
    </w:p>
    <w:p w14:paraId="4363FA0D" w14:textId="77777777" w:rsidR="004C78C0" w:rsidRPr="004C78C0" w:rsidRDefault="004C78C0" w:rsidP="004C78C0">
      <w:pPr>
        <w:pStyle w:val="BodyText"/>
        <w:rPr>
          <w:rFonts w:asciiTheme="minorHAnsi" w:hAnsiTheme="minorHAnsi" w:cstheme="minorHAnsi"/>
          <w:szCs w:val="22"/>
          <w:lang w:val="fr-BE"/>
        </w:rPr>
      </w:pPr>
    </w:p>
    <w:p w14:paraId="6D7CA527" w14:textId="77777777" w:rsidR="004C78C0" w:rsidRPr="004C78C0" w:rsidRDefault="004C78C0" w:rsidP="004C78C0">
      <w:pPr>
        <w:pStyle w:val="BodyText"/>
        <w:rPr>
          <w:rFonts w:asciiTheme="minorHAnsi" w:hAnsiTheme="minorHAnsi"/>
          <w:lang w:val="fr-BE"/>
        </w:rPr>
      </w:pPr>
      <w:r w:rsidRPr="004C78C0">
        <w:rPr>
          <w:rFonts w:asciiTheme="minorHAnsi" w:hAnsiTheme="minorHAnsi"/>
          <w:lang w:val="fr-BE"/>
        </w:rPr>
        <w:t xml:space="preserve">Les meubles de bureau et de magasin ont connu une augmentation marquante du chiffre d'affaires en 2021 comme au premier semestre de 2022. Avec une hausse de presque 15 %, le mobilier d'habitation a eu une bonne année 2021, mais l'activité a tout de même légèrement reculé au premier semestre 2022 pour atteindre une modeste augmentation du chiffre d'affaires de 1,9 %. Les meubles de cuisine restent populaires et les volumes ont pu être maintenus à niveau. Un constat </w:t>
      </w:r>
      <w:r w:rsidRPr="004C78C0">
        <w:rPr>
          <w:rFonts w:asciiTheme="minorHAnsi" w:hAnsiTheme="minorHAnsi"/>
          <w:lang w:val="fr-BE"/>
        </w:rPr>
        <w:lastRenderedPageBreak/>
        <w:t>frappant concerne le recul des matelas et sommiers, tant en 2021 qu'au premier semestre 2022, en tout cas selon les statistiques officielles.</w:t>
      </w:r>
    </w:p>
    <w:p w14:paraId="61D8C09A" w14:textId="77777777" w:rsidR="004C78C0" w:rsidRPr="004C78C0" w:rsidRDefault="004C78C0" w:rsidP="004C78C0">
      <w:pPr>
        <w:pStyle w:val="BodyText"/>
        <w:rPr>
          <w:rFonts w:asciiTheme="minorHAnsi" w:hAnsiTheme="minorHAnsi" w:cstheme="minorBidi"/>
          <w:sz w:val="14"/>
          <w:szCs w:val="12"/>
          <w:lang w:val="fr-BE"/>
        </w:rPr>
      </w:pPr>
    </w:p>
    <w:p w14:paraId="5361C277" w14:textId="77777777" w:rsidR="004C78C0" w:rsidRPr="008D777B" w:rsidRDefault="004C78C0" w:rsidP="004C78C0">
      <w:pPr>
        <w:rPr>
          <w:rFonts w:cstheme="minorHAnsi"/>
          <w:sz w:val="16"/>
          <w:szCs w:val="10"/>
        </w:rPr>
      </w:pPr>
      <w:r w:rsidRPr="008D777B">
        <w:rPr>
          <w:noProof/>
          <w:sz w:val="16"/>
          <w:szCs w:val="10"/>
          <w:lang w:eastAsia="fr-BE"/>
        </w:rPr>
        <w:drawing>
          <wp:inline distT="0" distB="0" distL="0" distR="0" wp14:anchorId="327C9CEA" wp14:editId="719C963F">
            <wp:extent cx="5507421" cy="2149365"/>
            <wp:effectExtent l="0" t="0" r="17145" b="3810"/>
            <wp:docPr id="3" name="Grafiek 3">
              <a:extLst xmlns:a="http://schemas.openxmlformats.org/drawingml/2006/main">
                <a:ext uri="{FF2B5EF4-FFF2-40B4-BE49-F238E27FC236}">
                  <a16:creationId xmlns:a16="http://schemas.microsoft.com/office/drawing/2014/main" id="{47FC0CF9-1876-4E1B-8F9F-3372821FE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6E25FF" w14:textId="77777777" w:rsidR="004C78C0" w:rsidRPr="008D777B" w:rsidRDefault="004C78C0" w:rsidP="004C78C0">
      <w:pPr>
        <w:ind w:firstLine="567"/>
        <w:rPr>
          <w:rFonts w:cstheme="minorHAnsi"/>
          <w:sz w:val="16"/>
          <w:szCs w:val="10"/>
        </w:rPr>
      </w:pPr>
      <w:r w:rsidRPr="008D777B">
        <w:rPr>
          <w:sz w:val="16"/>
        </w:rPr>
        <w:t>Source : SPF Economie, déclarations TVA</w:t>
      </w:r>
    </w:p>
    <w:p w14:paraId="64B48E83" w14:textId="77777777" w:rsidR="004C78C0" w:rsidRPr="004C78C0" w:rsidRDefault="004C78C0" w:rsidP="004C78C0">
      <w:pPr>
        <w:pStyle w:val="BodyText"/>
        <w:rPr>
          <w:rFonts w:asciiTheme="minorHAnsi" w:hAnsiTheme="minorHAnsi" w:cstheme="minorHAnsi"/>
          <w:b/>
          <w:bCs/>
          <w:u w:val="single"/>
          <w:lang w:val="fr-BE"/>
        </w:rPr>
      </w:pPr>
      <w:r w:rsidRPr="004C78C0">
        <w:rPr>
          <w:rFonts w:asciiTheme="minorHAnsi" w:hAnsiTheme="minorHAnsi"/>
          <w:b/>
          <w:u w:val="single"/>
          <w:lang w:val="fr-BE"/>
        </w:rPr>
        <w:t>Investissements et taux d’occupation de la capacité de production</w:t>
      </w:r>
    </w:p>
    <w:p w14:paraId="7DCC207C" w14:textId="77777777" w:rsidR="004C78C0" w:rsidRPr="004C78C0" w:rsidRDefault="004C78C0" w:rsidP="004C78C0">
      <w:pPr>
        <w:pStyle w:val="BodyText"/>
        <w:rPr>
          <w:rFonts w:asciiTheme="minorHAnsi" w:hAnsiTheme="minorHAnsi" w:cstheme="minorHAnsi"/>
          <w:sz w:val="20"/>
          <w:highlight w:val="yellow"/>
          <w:lang w:val="fr-BE"/>
        </w:rPr>
      </w:pPr>
    </w:p>
    <w:p w14:paraId="1B0740A4" w14:textId="77777777" w:rsidR="004C78C0" w:rsidRPr="004C78C0" w:rsidRDefault="004C78C0" w:rsidP="004C78C0">
      <w:pPr>
        <w:pStyle w:val="BodyText"/>
        <w:rPr>
          <w:rFonts w:asciiTheme="minorHAnsi" w:hAnsiTheme="minorHAnsi" w:cstheme="minorHAnsi"/>
          <w:lang w:val="fr-BE"/>
        </w:rPr>
      </w:pPr>
      <w:r w:rsidRPr="004C78C0">
        <w:rPr>
          <w:rFonts w:asciiTheme="minorHAnsi" w:hAnsiTheme="minorHAnsi"/>
          <w:lang w:val="fr-BE"/>
        </w:rPr>
        <w:t>Au cours du premier semestre 2022, l'industrie belge de l'ameublement a investi 37,5 millions d'euros, à savoir une baisse de 1,3 % par rapport à la même période en 2021. En 2021, 74,5 millions d'euros ont été investis au total, et le volume d'investissement est resté à niveau en comparaison avec l'année précédente.</w:t>
      </w:r>
    </w:p>
    <w:p w14:paraId="00479658" w14:textId="77777777" w:rsidR="004C78C0" w:rsidRPr="004C78C0" w:rsidRDefault="004C78C0" w:rsidP="004C78C0">
      <w:pPr>
        <w:pStyle w:val="BodyText"/>
        <w:rPr>
          <w:rFonts w:asciiTheme="minorHAnsi" w:hAnsiTheme="minorHAnsi" w:cstheme="minorHAnsi"/>
          <w:lang w:val="fr-BE"/>
        </w:rPr>
      </w:pPr>
    </w:p>
    <w:p w14:paraId="555F5B60" w14:textId="77777777" w:rsidR="004C78C0" w:rsidRPr="004C78C0" w:rsidRDefault="004C78C0" w:rsidP="004C78C0">
      <w:pPr>
        <w:pStyle w:val="BodyText"/>
        <w:rPr>
          <w:rFonts w:asciiTheme="minorHAnsi" w:hAnsiTheme="minorHAnsi" w:cstheme="minorBidi"/>
          <w:lang w:val="fr-BE"/>
        </w:rPr>
      </w:pPr>
      <w:r w:rsidRPr="004C78C0">
        <w:rPr>
          <w:rFonts w:asciiTheme="minorHAnsi" w:hAnsiTheme="minorHAnsi"/>
          <w:lang w:val="fr-BE"/>
        </w:rPr>
        <w:t>Le sous-secteur des matelas et sommiers a connu un mouvement de rattrapage au premier semestre 2022 sur le plan des investissements. En 6 mois, on atteignait déjà plus de 75 % du volume d'investissement de 2021. La volonté d'investissement dans le sous-secteur des meubles de cuisine est restée faible (-4,9 % au premier semestre 2022 par rapport à la même période l'année précédente).</w:t>
      </w:r>
    </w:p>
    <w:p w14:paraId="46414E90" w14:textId="77777777" w:rsidR="004C78C0" w:rsidRPr="004C78C0" w:rsidRDefault="004C78C0" w:rsidP="004C78C0">
      <w:pPr>
        <w:pStyle w:val="BodyText"/>
        <w:rPr>
          <w:rFonts w:asciiTheme="minorHAnsi" w:hAnsiTheme="minorHAnsi" w:cstheme="minorHAnsi"/>
          <w:lang w:val="fr-BE"/>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7"/>
        <w:gridCol w:w="851"/>
        <w:gridCol w:w="850"/>
        <w:gridCol w:w="992"/>
        <w:gridCol w:w="993"/>
        <w:gridCol w:w="1134"/>
        <w:gridCol w:w="1275"/>
      </w:tblGrid>
      <w:tr w:rsidR="004C78C0" w:rsidRPr="008D777B" w14:paraId="2523B993" w14:textId="77777777" w:rsidTr="00654255">
        <w:tc>
          <w:tcPr>
            <w:tcW w:w="9062" w:type="dxa"/>
            <w:gridSpan w:val="7"/>
            <w:shd w:val="clear" w:color="auto" w:fill="FFC000"/>
            <w:tcMar>
              <w:top w:w="15" w:type="dxa"/>
              <w:left w:w="70" w:type="dxa"/>
              <w:bottom w:w="0" w:type="dxa"/>
              <w:right w:w="70" w:type="dxa"/>
            </w:tcMar>
            <w:vAlign w:val="center"/>
            <w:hideMark/>
          </w:tcPr>
          <w:p w14:paraId="526FC6A0" w14:textId="77777777" w:rsidR="004C78C0" w:rsidRPr="004C78C0" w:rsidRDefault="004C78C0" w:rsidP="00654255">
            <w:pPr>
              <w:pStyle w:val="BodyText"/>
              <w:jc w:val="center"/>
              <w:rPr>
                <w:rFonts w:asciiTheme="minorHAnsi" w:hAnsiTheme="minorHAnsi" w:cstheme="minorHAnsi"/>
                <w:sz w:val="20"/>
                <w:lang w:val="fr-BE"/>
              </w:rPr>
            </w:pPr>
            <w:r w:rsidRPr="004C78C0">
              <w:rPr>
                <w:rFonts w:asciiTheme="minorHAnsi" w:hAnsiTheme="minorHAnsi"/>
                <w:b/>
                <w:sz w:val="20"/>
                <w:lang w:val="fr-BE"/>
              </w:rPr>
              <w:t>Evolution des investissements dans l’industrie de l’ameublement</w:t>
            </w:r>
          </w:p>
        </w:tc>
      </w:tr>
      <w:tr w:rsidR="004C78C0" w:rsidRPr="008D777B" w14:paraId="0C7FE8AF" w14:textId="77777777" w:rsidTr="00654255">
        <w:tc>
          <w:tcPr>
            <w:tcW w:w="2967" w:type="dxa"/>
            <w:shd w:val="clear" w:color="auto" w:fill="auto"/>
            <w:tcMar>
              <w:top w:w="15" w:type="dxa"/>
              <w:left w:w="70" w:type="dxa"/>
              <w:bottom w:w="0" w:type="dxa"/>
              <w:right w:w="70" w:type="dxa"/>
            </w:tcMar>
            <w:vAlign w:val="center"/>
            <w:hideMark/>
          </w:tcPr>
          <w:p w14:paraId="669300E3" w14:textId="77777777" w:rsidR="004C78C0" w:rsidRPr="008D777B" w:rsidRDefault="004C78C0" w:rsidP="00654255">
            <w:pPr>
              <w:pStyle w:val="BodyText"/>
              <w:jc w:val="center"/>
              <w:rPr>
                <w:rFonts w:asciiTheme="minorHAnsi" w:hAnsiTheme="minorHAnsi" w:cstheme="minorHAnsi"/>
                <w:b/>
                <w:sz w:val="20"/>
              </w:rPr>
            </w:pPr>
            <w:r w:rsidRPr="008D777B">
              <w:rPr>
                <w:rFonts w:asciiTheme="minorHAnsi" w:hAnsiTheme="minorHAnsi"/>
                <w:b/>
                <w:sz w:val="20"/>
              </w:rPr>
              <w:t>En millions d'euros</w:t>
            </w:r>
          </w:p>
        </w:tc>
        <w:tc>
          <w:tcPr>
            <w:tcW w:w="851" w:type="dxa"/>
            <w:shd w:val="clear" w:color="auto" w:fill="auto"/>
            <w:tcMar>
              <w:top w:w="15" w:type="dxa"/>
              <w:left w:w="70" w:type="dxa"/>
              <w:bottom w:w="0" w:type="dxa"/>
              <w:right w:w="70" w:type="dxa"/>
            </w:tcMar>
            <w:vAlign w:val="center"/>
            <w:hideMark/>
          </w:tcPr>
          <w:p w14:paraId="3095DF0E"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2020</w:t>
            </w:r>
          </w:p>
        </w:tc>
        <w:tc>
          <w:tcPr>
            <w:tcW w:w="850" w:type="dxa"/>
            <w:shd w:val="clear" w:color="auto" w:fill="auto"/>
            <w:tcMar>
              <w:top w:w="15" w:type="dxa"/>
              <w:left w:w="70" w:type="dxa"/>
              <w:bottom w:w="0" w:type="dxa"/>
              <w:right w:w="70" w:type="dxa"/>
            </w:tcMar>
            <w:vAlign w:val="center"/>
            <w:hideMark/>
          </w:tcPr>
          <w:p w14:paraId="009AE6B8"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2021</w:t>
            </w:r>
          </w:p>
        </w:tc>
        <w:tc>
          <w:tcPr>
            <w:tcW w:w="992" w:type="dxa"/>
            <w:shd w:val="clear" w:color="auto" w:fill="auto"/>
            <w:tcMar>
              <w:top w:w="15" w:type="dxa"/>
              <w:left w:w="70" w:type="dxa"/>
              <w:bottom w:w="0" w:type="dxa"/>
              <w:right w:w="70" w:type="dxa"/>
            </w:tcMar>
            <w:vAlign w:val="center"/>
            <w:hideMark/>
          </w:tcPr>
          <w:p w14:paraId="5191D106"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21/20</w:t>
            </w:r>
          </w:p>
        </w:tc>
        <w:tc>
          <w:tcPr>
            <w:tcW w:w="993" w:type="dxa"/>
            <w:shd w:val="clear" w:color="auto" w:fill="auto"/>
            <w:tcMar>
              <w:top w:w="15" w:type="dxa"/>
              <w:left w:w="70" w:type="dxa"/>
              <w:bottom w:w="0" w:type="dxa"/>
              <w:right w:w="70" w:type="dxa"/>
            </w:tcMar>
            <w:vAlign w:val="center"/>
            <w:hideMark/>
          </w:tcPr>
          <w:p w14:paraId="620CA527"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6 m 21</w:t>
            </w:r>
          </w:p>
        </w:tc>
        <w:tc>
          <w:tcPr>
            <w:tcW w:w="1134" w:type="dxa"/>
            <w:shd w:val="clear" w:color="auto" w:fill="auto"/>
            <w:tcMar>
              <w:top w:w="15" w:type="dxa"/>
              <w:left w:w="70" w:type="dxa"/>
              <w:bottom w:w="0" w:type="dxa"/>
              <w:right w:w="70" w:type="dxa"/>
            </w:tcMar>
            <w:vAlign w:val="center"/>
            <w:hideMark/>
          </w:tcPr>
          <w:p w14:paraId="1A28A389"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6 m 22*</w:t>
            </w:r>
          </w:p>
        </w:tc>
        <w:tc>
          <w:tcPr>
            <w:tcW w:w="1275" w:type="dxa"/>
            <w:shd w:val="clear" w:color="auto" w:fill="auto"/>
            <w:tcMar>
              <w:top w:w="15" w:type="dxa"/>
              <w:left w:w="70" w:type="dxa"/>
              <w:bottom w:w="0" w:type="dxa"/>
              <w:right w:w="70" w:type="dxa"/>
            </w:tcMar>
            <w:vAlign w:val="center"/>
            <w:hideMark/>
          </w:tcPr>
          <w:p w14:paraId="2416747F"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6 m 22/21*</w:t>
            </w:r>
          </w:p>
        </w:tc>
      </w:tr>
      <w:tr w:rsidR="004C78C0" w:rsidRPr="008D777B" w14:paraId="73A07BB2" w14:textId="77777777" w:rsidTr="00654255">
        <w:tc>
          <w:tcPr>
            <w:tcW w:w="2967" w:type="dxa"/>
            <w:shd w:val="clear" w:color="auto" w:fill="auto"/>
            <w:tcMar>
              <w:top w:w="15" w:type="dxa"/>
              <w:left w:w="70" w:type="dxa"/>
              <w:bottom w:w="0" w:type="dxa"/>
              <w:right w:w="70" w:type="dxa"/>
            </w:tcMar>
            <w:vAlign w:val="center"/>
            <w:hideMark/>
          </w:tcPr>
          <w:p w14:paraId="220E2C10" w14:textId="77777777" w:rsidR="004C78C0" w:rsidRPr="004C78C0" w:rsidRDefault="004C78C0" w:rsidP="00654255">
            <w:pPr>
              <w:pStyle w:val="BodyText"/>
              <w:jc w:val="left"/>
              <w:rPr>
                <w:rFonts w:asciiTheme="minorHAnsi" w:hAnsiTheme="minorHAnsi" w:cstheme="minorHAnsi"/>
                <w:sz w:val="20"/>
                <w:lang w:val="fr-BE"/>
              </w:rPr>
            </w:pPr>
            <w:r w:rsidRPr="004C78C0">
              <w:rPr>
                <w:rFonts w:asciiTheme="minorHAnsi" w:hAnsiTheme="minorHAnsi"/>
                <w:sz w:val="20"/>
                <w:lang w:val="fr-BE"/>
              </w:rPr>
              <w:t>Chaises et sièges, meubles de salle à manger, de chambre à coucher, de jardin et terrasse</w:t>
            </w:r>
          </w:p>
        </w:tc>
        <w:tc>
          <w:tcPr>
            <w:tcW w:w="851" w:type="dxa"/>
            <w:shd w:val="clear" w:color="auto" w:fill="auto"/>
            <w:tcMar>
              <w:top w:w="15" w:type="dxa"/>
              <w:left w:w="70" w:type="dxa"/>
              <w:bottom w:w="0" w:type="dxa"/>
              <w:right w:w="70" w:type="dxa"/>
            </w:tcMar>
            <w:vAlign w:val="center"/>
          </w:tcPr>
          <w:p w14:paraId="14BD14EB"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35,7</w:t>
            </w:r>
          </w:p>
        </w:tc>
        <w:tc>
          <w:tcPr>
            <w:tcW w:w="850" w:type="dxa"/>
            <w:shd w:val="clear" w:color="auto" w:fill="auto"/>
            <w:tcMar>
              <w:top w:w="15" w:type="dxa"/>
              <w:left w:w="70" w:type="dxa"/>
              <w:bottom w:w="0" w:type="dxa"/>
              <w:right w:w="70" w:type="dxa"/>
            </w:tcMar>
            <w:vAlign w:val="center"/>
          </w:tcPr>
          <w:p w14:paraId="34D82A34"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40,0</w:t>
            </w:r>
          </w:p>
        </w:tc>
        <w:tc>
          <w:tcPr>
            <w:tcW w:w="992" w:type="dxa"/>
            <w:shd w:val="clear" w:color="auto" w:fill="auto"/>
            <w:tcMar>
              <w:top w:w="15" w:type="dxa"/>
              <w:left w:w="70" w:type="dxa"/>
              <w:bottom w:w="0" w:type="dxa"/>
              <w:right w:w="70" w:type="dxa"/>
            </w:tcMar>
            <w:vAlign w:val="center"/>
            <w:hideMark/>
          </w:tcPr>
          <w:p w14:paraId="63D7D485"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+12,0 %</w:t>
            </w:r>
          </w:p>
        </w:tc>
        <w:tc>
          <w:tcPr>
            <w:tcW w:w="993" w:type="dxa"/>
            <w:shd w:val="clear" w:color="auto" w:fill="auto"/>
            <w:tcMar>
              <w:top w:w="15" w:type="dxa"/>
              <w:left w:w="70" w:type="dxa"/>
              <w:bottom w:w="0" w:type="dxa"/>
              <w:right w:w="70" w:type="dxa"/>
            </w:tcMar>
            <w:vAlign w:val="center"/>
          </w:tcPr>
          <w:p w14:paraId="6A00E508"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20,5</w:t>
            </w:r>
          </w:p>
        </w:tc>
        <w:tc>
          <w:tcPr>
            <w:tcW w:w="1134" w:type="dxa"/>
            <w:shd w:val="clear" w:color="auto" w:fill="auto"/>
            <w:tcMar>
              <w:top w:w="15" w:type="dxa"/>
              <w:left w:w="70" w:type="dxa"/>
              <w:bottom w:w="0" w:type="dxa"/>
              <w:right w:w="70" w:type="dxa"/>
            </w:tcMar>
            <w:vAlign w:val="center"/>
          </w:tcPr>
          <w:p w14:paraId="3F5F4144"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19,1</w:t>
            </w:r>
          </w:p>
        </w:tc>
        <w:tc>
          <w:tcPr>
            <w:tcW w:w="1275" w:type="dxa"/>
            <w:shd w:val="clear" w:color="auto" w:fill="auto"/>
            <w:tcMar>
              <w:top w:w="15" w:type="dxa"/>
              <w:left w:w="70" w:type="dxa"/>
              <w:bottom w:w="0" w:type="dxa"/>
              <w:right w:w="70" w:type="dxa"/>
            </w:tcMar>
            <w:vAlign w:val="center"/>
            <w:hideMark/>
          </w:tcPr>
          <w:p w14:paraId="4457B3FB"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-6,8 %</w:t>
            </w:r>
          </w:p>
        </w:tc>
      </w:tr>
      <w:tr w:rsidR="004C78C0" w:rsidRPr="008D777B" w14:paraId="6AA04586" w14:textId="77777777" w:rsidTr="00654255">
        <w:tc>
          <w:tcPr>
            <w:tcW w:w="2967" w:type="dxa"/>
            <w:shd w:val="clear" w:color="auto" w:fill="auto"/>
            <w:tcMar>
              <w:top w:w="15" w:type="dxa"/>
              <w:left w:w="70" w:type="dxa"/>
              <w:bottom w:w="0" w:type="dxa"/>
              <w:right w:w="70" w:type="dxa"/>
            </w:tcMar>
            <w:vAlign w:val="center"/>
            <w:hideMark/>
          </w:tcPr>
          <w:p w14:paraId="6EB661DC" w14:textId="77777777" w:rsidR="004C78C0" w:rsidRPr="004C78C0" w:rsidRDefault="004C78C0" w:rsidP="00654255">
            <w:pPr>
              <w:pStyle w:val="BodyText"/>
              <w:rPr>
                <w:rFonts w:asciiTheme="minorHAnsi" w:hAnsiTheme="minorHAnsi" w:cstheme="minorHAnsi"/>
                <w:sz w:val="20"/>
                <w:lang w:val="fr-BE"/>
              </w:rPr>
            </w:pPr>
            <w:r w:rsidRPr="004C78C0">
              <w:rPr>
                <w:rFonts w:asciiTheme="minorHAnsi" w:hAnsiTheme="minorHAnsi"/>
                <w:sz w:val="20"/>
                <w:lang w:val="fr-BE"/>
              </w:rPr>
              <w:t>Meubles de bureau et de magasin</w:t>
            </w:r>
          </w:p>
        </w:tc>
        <w:tc>
          <w:tcPr>
            <w:tcW w:w="851" w:type="dxa"/>
            <w:shd w:val="clear" w:color="auto" w:fill="auto"/>
            <w:tcMar>
              <w:top w:w="15" w:type="dxa"/>
              <w:left w:w="70" w:type="dxa"/>
              <w:bottom w:w="0" w:type="dxa"/>
              <w:right w:w="70" w:type="dxa"/>
            </w:tcMar>
            <w:vAlign w:val="center"/>
          </w:tcPr>
          <w:p w14:paraId="65D51B0C"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8,7</w:t>
            </w:r>
          </w:p>
        </w:tc>
        <w:tc>
          <w:tcPr>
            <w:tcW w:w="850" w:type="dxa"/>
            <w:shd w:val="clear" w:color="auto" w:fill="auto"/>
            <w:tcMar>
              <w:top w:w="15" w:type="dxa"/>
              <w:left w:w="70" w:type="dxa"/>
              <w:bottom w:w="0" w:type="dxa"/>
              <w:right w:w="70" w:type="dxa"/>
            </w:tcMar>
            <w:vAlign w:val="center"/>
          </w:tcPr>
          <w:p w14:paraId="3B7B8B61"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10,2</w:t>
            </w:r>
          </w:p>
        </w:tc>
        <w:tc>
          <w:tcPr>
            <w:tcW w:w="992" w:type="dxa"/>
            <w:shd w:val="clear" w:color="auto" w:fill="auto"/>
            <w:tcMar>
              <w:top w:w="15" w:type="dxa"/>
              <w:left w:w="70" w:type="dxa"/>
              <w:bottom w:w="0" w:type="dxa"/>
              <w:right w:w="70" w:type="dxa"/>
            </w:tcMar>
            <w:vAlign w:val="center"/>
            <w:hideMark/>
          </w:tcPr>
          <w:p w14:paraId="0D9ED0EC"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+17,2 %</w:t>
            </w:r>
          </w:p>
        </w:tc>
        <w:tc>
          <w:tcPr>
            <w:tcW w:w="993" w:type="dxa"/>
            <w:shd w:val="clear" w:color="auto" w:fill="auto"/>
            <w:tcMar>
              <w:top w:w="15" w:type="dxa"/>
              <w:left w:w="70" w:type="dxa"/>
              <w:bottom w:w="0" w:type="dxa"/>
              <w:right w:w="70" w:type="dxa"/>
            </w:tcMar>
            <w:vAlign w:val="center"/>
          </w:tcPr>
          <w:p w14:paraId="20C1A88E"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5,3</w:t>
            </w:r>
          </w:p>
        </w:tc>
        <w:tc>
          <w:tcPr>
            <w:tcW w:w="1134" w:type="dxa"/>
            <w:shd w:val="clear" w:color="auto" w:fill="auto"/>
            <w:tcMar>
              <w:top w:w="15" w:type="dxa"/>
              <w:left w:w="70" w:type="dxa"/>
              <w:bottom w:w="0" w:type="dxa"/>
              <w:right w:w="70" w:type="dxa"/>
            </w:tcMar>
            <w:vAlign w:val="center"/>
          </w:tcPr>
          <w:p w14:paraId="406C199E"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5,4</w:t>
            </w:r>
          </w:p>
        </w:tc>
        <w:tc>
          <w:tcPr>
            <w:tcW w:w="1275" w:type="dxa"/>
            <w:shd w:val="clear" w:color="auto" w:fill="auto"/>
            <w:tcMar>
              <w:top w:w="15" w:type="dxa"/>
              <w:left w:w="70" w:type="dxa"/>
              <w:bottom w:w="0" w:type="dxa"/>
              <w:right w:w="70" w:type="dxa"/>
            </w:tcMar>
            <w:vAlign w:val="center"/>
            <w:hideMark/>
          </w:tcPr>
          <w:p w14:paraId="0E1F8790"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+1,9 %</w:t>
            </w:r>
          </w:p>
        </w:tc>
      </w:tr>
      <w:tr w:rsidR="004C78C0" w:rsidRPr="008D777B" w14:paraId="28B86340" w14:textId="77777777" w:rsidTr="00654255">
        <w:tc>
          <w:tcPr>
            <w:tcW w:w="2967" w:type="dxa"/>
            <w:shd w:val="clear" w:color="auto" w:fill="auto"/>
            <w:tcMar>
              <w:top w:w="15" w:type="dxa"/>
              <w:left w:w="70" w:type="dxa"/>
              <w:bottom w:w="0" w:type="dxa"/>
              <w:right w:w="70" w:type="dxa"/>
            </w:tcMar>
            <w:vAlign w:val="center"/>
            <w:hideMark/>
          </w:tcPr>
          <w:p w14:paraId="219817F3" w14:textId="77777777" w:rsidR="004C78C0" w:rsidRPr="008D777B" w:rsidRDefault="004C78C0" w:rsidP="00654255">
            <w:pPr>
              <w:pStyle w:val="BodyText"/>
              <w:rPr>
                <w:rFonts w:asciiTheme="minorHAnsi" w:hAnsiTheme="minorHAnsi" w:cstheme="minorHAnsi"/>
                <w:sz w:val="20"/>
              </w:rPr>
            </w:pPr>
            <w:r w:rsidRPr="008D777B">
              <w:rPr>
                <w:rFonts w:asciiTheme="minorHAnsi" w:hAnsiTheme="minorHAnsi"/>
                <w:sz w:val="20"/>
              </w:rPr>
              <w:t>Meubles de cuisine</w:t>
            </w:r>
          </w:p>
        </w:tc>
        <w:tc>
          <w:tcPr>
            <w:tcW w:w="851" w:type="dxa"/>
            <w:shd w:val="clear" w:color="auto" w:fill="auto"/>
            <w:tcMar>
              <w:top w:w="15" w:type="dxa"/>
              <w:left w:w="70" w:type="dxa"/>
              <w:bottom w:w="0" w:type="dxa"/>
              <w:right w:w="70" w:type="dxa"/>
            </w:tcMar>
            <w:vAlign w:val="center"/>
          </w:tcPr>
          <w:p w14:paraId="62DB78D4"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20,8</w:t>
            </w:r>
          </w:p>
        </w:tc>
        <w:tc>
          <w:tcPr>
            <w:tcW w:w="850" w:type="dxa"/>
            <w:shd w:val="clear" w:color="auto" w:fill="auto"/>
            <w:tcMar>
              <w:top w:w="15" w:type="dxa"/>
              <w:left w:w="70" w:type="dxa"/>
              <w:bottom w:w="0" w:type="dxa"/>
              <w:right w:w="70" w:type="dxa"/>
            </w:tcMar>
            <w:vAlign w:val="center"/>
          </w:tcPr>
          <w:p w14:paraId="18B735A9"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17,5</w:t>
            </w:r>
          </w:p>
        </w:tc>
        <w:tc>
          <w:tcPr>
            <w:tcW w:w="992" w:type="dxa"/>
            <w:shd w:val="clear" w:color="auto" w:fill="auto"/>
            <w:tcMar>
              <w:top w:w="15" w:type="dxa"/>
              <w:left w:w="70" w:type="dxa"/>
              <w:bottom w:w="0" w:type="dxa"/>
              <w:right w:w="70" w:type="dxa"/>
            </w:tcMar>
            <w:vAlign w:val="center"/>
            <w:hideMark/>
          </w:tcPr>
          <w:p w14:paraId="4792434D"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-15,9 %</w:t>
            </w:r>
          </w:p>
        </w:tc>
        <w:tc>
          <w:tcPr>
            <w:tcW w:w="993" w:type="dxa"/>
            <w:shd w:val="clear" w:color="auto" w:fill="auto"/>
            <w:tcMar>
              <w:top w:w="15" w:type="dxa"/>
              <w:left w:w="70" w:type="dxa"/>
              <w:bottom w:w="0" w:type="dxa"/>
              <w:right w:w="70" w:type="dxa"/>
            </w:tcMar>
            <w:vAlign w:val="center"/>
          </w:tcPr>
          <w:p w14:paraId="512CAF92"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8,2</w:t>
            </w:r>
          </w:p>
        </w:tc>
        <w:tc>
          <w:tcPr>
            <w:tcW w:w="1134" w:type="dxa"/>
            <w:shd w:val="clear" w:color="auto" w:fill="auto"/>
            <w:tcMar>
              <w:top w:w="15" w:type="dxa"/>
              <w:left w:w="70" w:type="dxa"/>
              <w:bottom w:w="0" w:type="dxa"/>
              <w:right w:w="70" w:type="dxa"/>
            </w:tcMar>
            <w:vAlign w:val="center"/>
          </w:tcPr>
          <w:p w14:paraId="3A5862A2"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7,8</w:t>
            </w:r>
          </w:p>
        </w:tc>
        <w:tc>
          <w:tcPr>
            <w:tcW w:w="1275" w:type="dxa"/>
            <w:shd w:val="clear" w:color="auto" w:fill="auto"/>
            <w:tcMar>
              <w:top w:w="15" w:type="dxa"/>
              <w:left w:w="70" w:type="dxa"/>
              <w:bottom w:w="0" w:type="dxa"/>
              <w:right w:w="70" w:type="dxa"/>
            </w:tcMar>
            <w:vAlign w:val="center"/>
            <w:hideMark/>
          </w:tcPr>
          <w:p w14:paraId="6BCCBE96"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-4,9 %</w:t>
            </w:r>
          </w:p>
        </w:tc>
      </w:tr>
      <w:tr w:rsidR="004C78C0" w:rsidRPr="008D777B" w14:paraId="320E77AC" w14:textId="77777777" w:rsidTr="00654255">
        <w:tc>
          <w:tcPr>
            <w:tcW w:w="2967" w:type="dxa"/>
            <w:shd w:val="clear" w:color="auto" w:fill="auto"/>
            <w:tcMar>
              <w:top w:w="15" w:type="dxa"/>
              <w:left w:w="70" w:type="dxa"/>
              <w:bottom w:w="0" w:type="dxa"/>
              <w:right w:w="70" w:type="dxa"/>
            </w:tcMar>
            <w:vAlign w:val="center"/>
            <w:hideMark/>
          </w:tcPr>
          <w:p w14:paraId="44C45150" w14:textId="77777777" w:rsidR="004C78C0" w:rsidRPr="008D777B" w:rsidRDefault="004C78C0" w:rsidP="00654255">
            <w:pPr>
              <w:pStyle w:val="BodyText"/>
              <w:rPr>
                <w:rFonts w:asciiTheme="minorHAnsi" w:hAnsiTheme="minorHAnsi" w:cstheme="minorHAnsi"/>
                <w:sz w:val="20"/>
              </w:rPr>
            </w:pPr>
            <w:r w:rsidRPr="008D777B">
              <w:rPr>
                <w:rFonts w:asciiTheme="minorHAnsi" w:hAnsiTheme="minorHAnsi"/>
                <w:sz w:val="20"/>
              </w:rPr>
              <w:t>Matelas et sommiers</w:t>
            </w:r>
          </w:p>
        </w:tc>
        <w:tc>
          <w:tcPr>
            <w:tcW w:w="851" w:type="dxa"/>
            <w:shd w:val="clear" w:color="auto" w:fill="auto"/>
            <w:tcMar>
              <w:top w:w="15" w:type="dxa"/>
              <w:left w:w="70" w:type="dxa"/>
              <w:bottom w:w="0" w:type="dxa"/>
              <w:right w:w="70" w:type="dxa"/>
            </w:tcMar>
            <w:vAlign w:val="center"/>
          </w:tcPr>
          <w:p w14:paraId="3A703358"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8,2</w:t>
            </w:r>
          </w:p>
        </w:tc>
        <w:tc>
          <w:tcPr>
            <w:tcW w:w="850" w:type="dxa"/>
            <w:shd w:val="clear" w:color="auto" w:fill="auto"/>
            <w:tcMar>
              <w:top w:w="15" w:type="dxa"/>
              <w:left w:w="70" w:type="dxa"/>
              <w:bottom w:w="0" w:type="dxa"/>
              <w:right w:w="70" w:type="dxa"/>
            </w:tcMar>
            <w:vAlign w:val="center"/>
          </w:tcPr>
          <w:p w14:paraId="7D6E832B"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6,8</w:t>
            </w:r>
          </w:p>
        </w:tc>
        <w:tc>
          <w:tcPr>
            <w:tcW w:w="992" w:type="dxa"/>
            <w:shd w:val="clear" w:color="auto" w:fill="auto"/>
            <w:tcMar>
              <w:top w:w="15" w:type="dxa"/>
              <w:left w:w="70" w:type="dxa"/>
              <w:bottom w:w="0" w:type="dxa"/>
              <w:right w:w="70" w:type="dxa"/>
            </w:tcMar>
            <w:vAlign w:val="center"/>
            <w:hideMark/>
          </w:tcPr>
          <w:p w14:paraId="13AAFE69"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-17,1 %</w:t>
            </w:r>
          </w:p>
        </w:tc>
        <w:tc>
          <w:tcPr>
            <w:tcW w:w="993" w:type="dxa"/>
            <w:shd w:val="clear" w:color="auto" w:fill="auto"/>
            <w:tcMar>
              <w:top w:w="15" w:type="dxa"/>
              <w:left w:w="70" w:type="dxa"/>
              <w:bottom w:w="0" w:type="dxa"/>
              <w:right w:w="70" w:type="dxa"/>
            </w:tcMar>
            <w:vAlign w:val="center"/>
          </w:tcPr>
          <w:p w14:paraId="21EECA4D"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4,0</w:t>
            </w:r>
          </w:p>
        </w:tc>
        <w:tc>
          <w:tcPr>
            <w:tcW w:w="1134" w:type="dxa"/>
            <w:shd w:val="clear" w:color="auto" w:fill="auto"/>
            <w:tcMar>
              <w:top w:w="15" w:type="dxa"/>
              <w:left w:w="70" w:type="dxa"/>
              <w:bottom w:w="0" w:type="dxa"/>
              <w:right w:w="70" w:type="dxa"/>
            </w:tcMar>
            <w:vAlign w:val="center"/>
          </w:tcPr>
          <w:p w14:paraId="60D3C2BD" w14:textId="77777777" w:rsidR="004C78C0" w:rsidRPr="008D777B" w:rsidRDefault="004C78C0" w:rsidP="00654255">
            <w:pPr>
              <w:pStyle w:val="BodyText"/>
              <w:jc w:val="right"/>
              <w:rPr>
                <w:rFonts w:asciiTheme="minorHAnsi" w:hAnsiTheme="minorHAnsi" w:cstheme="minorHAnsi"/>
                <w:sz w:val="20"/>
              </w:rPr>
            </w:pPr>
            <w:r w:rsidRPr="008D777B">
              <w:rPr>
                <w:rFonts w:asciiTheme="minorHAnsi" w:hAnsiTheme="minorHAnsi"/>
                <w:sz w:val="20"/>
              </w:rPr>
              <w:t>5,2</w:t>
            </w:r>
          </w:p>
        </w:tc>
        <w:tc>
          <w:tcPr>
            <w:tcW w:w="1275" w:type="dxa"/>
            <w:shd w:val="clear" w:color="auto" w:fill="auto"/>
            <w:tcMar>
              <w:top w:w="15" w:type="dxa"/>
              <w:left w:w="70" w:type="dxa"/>
              <w:bottom w:w="0" w:type="dxa"/>
              <w:right w:w="70" w:type="dxa"/>
            </w:tcMar>
            <w:vAlign w:val="center"/>
            <w:hideMark/>
          </w:tcPr>
          <w:p w14:paraId="36E2B38A"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+30,0 %</w:t>
            </w:r>
          </w:p>
        </w:tc>
      </w:tr>
      <w:tr w:rsidR="004C78C0" w:rsidRPr="008D777B" w14:paraId="6884CCDC" w14:textId="77777777" w:rsidTr="00654255">
        <w:tc>
          <w:tcPr>
            <w:tcW w:w="2967" w:type="dxa"/>
            <w:shd w:val="clear" w:color="auto" w:fill="FFC000"/>
            <w:tcMar>
              <w:top w:w="15" w:type="dxa"/>
              <w:left w:w="70" w:type="dxa"/>
              <w:bottom w:w="0" w:type="dxa"/>
              <w:right w:w="70" w:type="dxa"/>
            </w:tcMar>
            <w:vAlign w:val="center"/>
            <w:hideMark/>
          </w:tcPr>
          <w:p w14:paraId="7011C059" w14:textId="77777777" w:rsidR="004C78C0" w:rsidRPr="004C78C0" w:rsidRDefault="004C78C0" w:rsidP="00654255">
            <w:pPr>
              <w:pStyle w:val="BodyText"/>
              <w:jc w:val="left"/>
              <w:rPr>
                <w:rFonts w:asciiTheme="minorHAnsi" w:hAnsiTheme="minorHAnsi" w:cstheme="minorHAnsi"/>
                <w:b/>
                <w:sz w:val="20"/>
                <w:lang w:val="fr-BE"/>
              </w:rPr>
            </w:pPr>
            <w:r w:rsidRPr="004C78C0">
              <w:rPr>
                <w:rFonts w:asciiTheme="minorHAnsi" w:hAnsiTheme="minorHAnsi"/>
                <w:b/>
                <w:sz w:val="20"/>
                <w:lang w:val="fr-BE"/>
              </w:rPr>
              <w:t xml:space="preserve">Total pour l'industrie de l’ameublement </w:t>
            </w:r>
          </w:p>
        </w:tc>
        <w:tc>
          <w:tcPr>
            <w:tcW w:w="851" w:type="dxa"/>
            <w:shd w:val="clear" w:color="auto" w:fill="FFC000"/>
            <w:tcMar>
              <w:top w:w="15" w:type="dxa"/>
              <w:left w:w="70" w:type="dxa"/>
              <w:bottom w:w="0" w:type="dxa"/>
              <w:right w:w="70" w:type="dxa"/>
            </w:tcMar>
            <w:vAlign w:val="center"/>
          </w:tcPr>
          <w:p w14:paraId="740CFF61"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73,4</w:t>
            </w:r>
          </w:p>
        </w:tc>
        <w:tc>
          <w:tcPr>
            <w:tcW w:w="850" w:type="dxa"/>
            <w:shd w:val="clear" w:color="auto" w:fill="FFC000"/>
            <w:tcMar>
              <w:top w:w="15" w:type="dxa"/>
              <w:left w:w="70" w:type="dxa"/>
              <w:bottom w:w="0" w:type="dxa"/>
              <w:right w:w="70" w:type="dxa"/>
            </w:tcMar>
            <w:vAlign w:val="center"/>
          </w:tcPr>
          <w:p w14:paraId="31AE1F8E"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74,5</w:t>
            </w:r>
          </w:p>
        </w:tc>
        <w:tc>
          <w:tcPr>
            <w:tcW w:w="992" w:type="dxa"/>
            <w:shd w:val="clear" w:color="auto" w:fill="FFC000"/>
            <w:tcMar>
              <w:top w:w="15" w:type="dxa"/>
              <w:left w:w="70" w:type="dxa"/>
              <w:bottom w:w="0" w:type="dxa"/>
              <w:right w:w="70" w:type="dxa"/>
            </w:tcMar>
            <w:vAlign w:val="center"/>
            <w:hideMark/>
          </w:tcPr>
          <w:p w14:paraId="7FFD530A"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+1,5 %</w:t>
            </w:r>
          </w:p>
        </w:tc>
        <w:tc>
          <w:tcPr>
            <w:tcW w:w="993" w:type="dxa"/>
            <w:shd w:val="clear" w:color="auto" w:fill="FFC000"/>
            <w:tcMar>
              <w:top w:w="15" w:type="dxa"/>
              <w:left w:w="70" w:type="dxa"/>
              <w:bottom w:w="0" w:type="dxa"/>
              <w:right w:w="70" w:type="dxa"/>
            </w:tcMar>
            <w:vAlign w:val="center"/>
          </w:tcPr>
          <w:p w14:paraId="34679946"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38,0</w:t>
            </w:r>
          </w:p>
        </w:tc>
        <w:tc>
          <w:tcPr>
            <w:tcW w:w="1134" w:type="dxa"/>
            <w:shd w:val="clear" w:color="auto" w:fill="FFC000"/>
            <w:tcMar>
              <w:top w:w="15" w:type="dxa"/>
              <w:left w:w="70" w:type="dxa"/>
              <w:bottom w:w="0" w:type="dxa"/>
              <w:right w:w="70" w:type="dxa"/>
            </w:tcMar>
            <w:vAlign w:val="center"/>
          </w:tcPr>
          <w:p w14:paraId="056FE8FA"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37,5</w:t>
            </w:r>
          </w:p>
        </w:tc>
        <w:tc>
          <w:tcPr>
            <w:tcW w:w="1275" w:type="dxa"/>
            <w:shd w:val="clear" w:color="auto" w:fill="FFC000"/>
            <w:tcMar>
              <w:top w:w="15" w:type="dxa"/>
              <w:left w:w="70" w:type="dxa"/>
              <w:bottom w:w="0" w:type="dxa"/>
              <w:right w:w="70" w:type="dxa"/>
            </w:tcMar>
            <w:vAlign w:val="center"/>
            <w:hideMark/>
          </w:tcPr>
          <w:p w14:paraId="31496A6E" w14:textId="77777777" w:rsidR="004C78C0" w:rsidRPr="008D777B" w:rsidRDefault="004C78C0" w:rsidP="00654255">
            <w:pPr>
              <w:pStyle w:val="BodyText"/>
              <w:jc w:val="right"/>
              <w:rPr>
                <w:rFonts w:asciiTheme="minorHAnsi" w:hAnsiTheme="minorHAnsi" w:cstheme="minorHAnsi"/>
                <w:b/>
                <w:sz w:val="20"/>
              </w:rPr>
            </w:pPr>
            <w:r w:rsidRPr="008D777B">
              <w:rPr>
                <w:rFonts w:asciiTheme="minorHAnsi" w:hAnsiTheme="minorHAnsi"/>
                <w:b/>
                <w:sz w:val="20"/>
              </w:rPr>
              <w:t>-1,3 %</w:t>
            </w:r>
          </w:p>
        </w:tc>
      </w:tr>
    </w:tbl>
    <w:p w14:paraId="49B3F807" w14:textId="77777777" w:rsidR="004C78C0" w:rsidRPr="008D777B" w:rsidRDefault="004C78C0" w:rsidP="004C78C0">
      <w:pPr>
        <w:pStyle w:val="BodyText"/>
        <w:tabs>
          <w:tab w:val="clear" w:pos="3884"/>
          <w:tab w:val="left" w:pos="567"/>
        </w:tabs>
        <w:rPr>
          <w:rFonts w:asciiTheme="minorHAnsi" w:hAnsiTheme="minorHAnsi" w:cstheme="minorHAnsi"/>
          <w:sz w:val="16"/>
          <w:szCs w:val="16"/>
        </w:rPr>
      </w:pPr>
      <w:r w:rsidRPr="008D777B">
        <w:rPr>
          <w:rFonts w:asciiTheme="minorHAnsi" w:hAnsiTheme="minorHAnsi"/>
          <w:sz w:val="16"/>
        </w:rPr>
        <w:t xml:space="preserve">Source : SPF Economie, déclarations TVA </w:t>
      </w:r>
    </w:p>
    <w:p w14:paraId="183EF1CC" w14:textId="77777777" w:rsidR="004C78C0" w:rsidRPr="008D777B" w:rsidRDefault="004C78C0" w:rsidP="004C78C0">
      <w:pPr>
        <w:pStyle w:val="BodyText"/>
        <w:tabs>
          <w:tab w:val="clear" w:pos="3884"/>
          <w:tab w:val="left" w:pos="567"/>
        </w:tabs>
        <w:rPr>
          <w:rFonts w:asciiTheme="minorHAnsi" w:hAnsiTheme="minorHAnsi" w:cstheme="minorHAnsi"/>
          <w:sz w:val="18"/>
          <w:szCs w:val="18"/>
        </w:rPr>
      </w:pPr>
      <w:r w:rsidRPr="008D777B">
        <w:rPr>
          <w:rFonts w:asciiTheme="minorHAnsi" w:hAnsiTheme="minorHAnsi"/>
          <w:sz w:val="18"/>
        </w:rPr>
        <w:t>* Données provisoires</w:t>
      </w:r>
    </w:p>
    <w:p w14:paraId="41CEDD00" w14:textId="77777777" w:rsidR="004C78C0" w:rsidRPr="008D777B" w:rsidRDefault="004C78C0" w:rsidP="004C78C0">
      <w:pPr>
        <w:pStyle w:val="BodyText"/>
        <w:tabs>
          <w:tab w:val="clear" w:pos="3884"/>
          <w:tab w:val="left" w:pos="567"/>
        </w:tabs>
        <w:rPr>
          <w:rFonts w:asciiTheme="minorHAnsi" w:hAnsiTheme="minorHAnsi" w:cstheme="minorHAnsi"/>
          <w:sz w:val="18"/>
          <w:szCs w:val="18"/>
        </w:rPr>
      </w:pPr>
    </w:p>
    <w:p w14:paraId="38012430" w14:textId="77777777" w:rsidR="004C78C0" w:rsidRPr="004C78C0" w:rsidRDefault="004C78C0" w:rsidP="004C78C0">
      <w:pPr>
        <w:pStyle w:val="BodyText"/>
        <w:rPr>
          <w:rFonts w:asciiTheme="minorHAnsi" w:hAnsiTheme="minorHAnsi" w:cstheme="minorBidi"/>
          <w:lang w:val="fr-BE"/>
        </w:rPr>
      </w:pPr>
      <w:r w:rsidRPr="004C78C0">
        <w:rPr>
          <w:rFonts w:asciiTheme="minorHAnsi" w:hAnsiTheme="minorHAnsi"/>
          <w:lang w:val="fr-BE"/>
        </w:rPr>
        <w:t>Le taux d'occupation de la capacité de production dans l'industrie belge de l'ameublement reste également élevé dans les temps difficiles et s'élevait même à 89 % au deuxième trimestre 2022.</w:t>
      </w:r>
    </w:p>
    <w:p w14:paraId="1ED62174" w14:textId="77777777" w:rsidR="004C78C0" w:rsidRPr="004C78C0" w:rsidRDefault="004C78C0" w:rsidP="004C78C0">
      <w:pPr>
        <w:pStyle w:val="BodyText"/>
        <w:rPr>
          <w:rFonts w:asciiTheme="minorHAnsi" w:hAnsiTheme="minorHAnsi" w:cstheme="minorHAnsi"/>
          <w:szCs w:val="22"/>
          <w:lang w:val="fr-BE"/>
        </w:rPr>
      </w:pPr>
    </w:p>
    <w:p w14:paraId="17CE14B8" w14:textId="77777777" w:rsidR="004C78C0" w:rsidRPr="004C78C0" w:rsidRDefault="004C78C0" w:rsidP="004C78C0">
      <w:pPr>
        <w:pStyle w:val="BodyText"/>
        <w:jc w:val="center"/>
        <w:rPr>
          <w:rFonts w:asciiTheme="minorHAnsi" w:hAnsiTheme="minorHAnsi" w:cstheme="minorHAnsi"/>
          <w:szCs w:val="22"/>
          <w:lang w:val="fr-BE"/>
        </w:rPr>
      </w:pPr>
      <w:r w:rsidRPr="004C78C0">
        <w:rPr>
          <w:rFonts w:asciiTheme="minorHAnsi" w:hAnsiTheme="minorHAnsi"/>
          <w:b/>
          <w:sz w:val="24"/>
          <w:lang w:val="fr-BE"/>
        </w:rPr>
        <w:lastRenderedPageBreak/>
        <w:t>Taux d'occupation de la capacité de production dans l'industrie belge de l'ameublement</w:t>
      </w:r>
      <w:r w:rsidRPr="008D777B">
        <w:rPr>
          <w:rFonts w:asciiTheme="minorHAnsi" w:hAnsiTheme="minorHAnsi"/>
          <w:sz w:val="10"/>
          <w:szCs w:val="22"/>
          <w:lang w:val="fr-BE" w:eastAsia="fr-BE"/>
        </w:rPr>
        <w:drawing>
          <wp:inline distT="0" distB="0" distL="0" distR="0" wp14:anchorId="1F3CD58A" wp14:editId="7BD8E346">
            <wp:extent cx="6195060" cy="2613025"/>
            <wp:effectExtent l="0" t="0" r="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FD8573" w14:textId="77777777" w:rsidR="004C78C0" w:rsidRPr="004C78C0" w:rsidRDefault="004C78C0" w:rsidP="004C78C0">
      <w:pPr>
        <w:pStyle w:val="BodyText"/>
        <w:tabs>
          <w:tab w:val="clear" w:pos="3884"/>
        </w:tabs>
        <w:jc w:val="left"/>
        <w:rPr>
          <w:rFonts w:asciiTheme="minorHAnsi" w:hAnsiTheme="minorHAnsi" w:cstheme="minorHAnsi"/>
          <w:sz w:val="16"/>
          <w:szCs w:val="22"/>
          <w:lang w:val="fr-BE"/>
        </w:rPr>
      </w:pPr>
      <w:r w:rsidRPr="004C78C0">
        <w:rPr>
          <w:rFonts w:asciiTheme="minorHAnsi" w:hAnsiTheme="minorHAnsi"/>
          <w:sz w:val="16"/>
          <w:szCs w:val="22"/>
          <w:lang w:val="fr-BE"/>
        </w:rPr>
        <w:tab/>
      </w:r>
      <w:r w:rsidRPr="004C78C0">
        <w:rPr>
          <w:rFonts w:asciiTheme="minorHAnsi" w:hAnsiTheme="minorHAnsi"/>
          <w:sz w:val="16"/>
          <w:lang w:val="fr-BE"/>
        </w:rPr>
        <w:t>Source : Banque nationale de Belgique</w:t>
      </w:r>
    </w:p>
    <w:p w14:paraId="33F565DE" w14:textId="77777777" w:rsidR="004C78C0" w:rsidRPr="004C78C0" w:rsidRDefault="004C78C0" w:rsidP="004C78C0">
      <w:pPr>
        <w:pStyle w:val="BodyText"/>
        <w:rPr>
          <w:rFonts w:asciiTheme="minorHAnsi" w:hAnsiTheme="minorHAnsi" w:cstheme="minorHAnsi"/>
          <w:szCs w:val="22"/>
          <w:highlight w:val="yellow"/>
          <w:lang w:val="fr-BE"/>
        </w:rPr>
      </w:pPr>
    </w:p>
    <w:p w14:paraId="6851CE5D" w14:textId="77777777" w:rsidR="004C78C0" w:rsidRPr="004C78C0" w:rsidRDefault="004C78C0" w:rsidP="004C78C0">
      <w:pPr>
        <w:pStyle w:val="BodyText"/>
        <w:rPr>
          <w:rFonts w:asciiTheme="minorHAnsi" w:hAnsiTheme="minorHAnsi" w:cstheme="minorHAnsi"/>
          <w:b/>
          <w:bCs/>
          <w:u w:val="single"/>
          <w:lang w:val="fr-BE"/>
        </w:rPr>
      </w:pPr>
      <w:r w:rsidRPr="004C78C0">
        <w:rPr>
          <w:rFonts w:asciiTheme="minorHAnsi" w:hAnsiTheme="minorHAnsi"/>
          <w:b/>
          <w:u w:val="single"/>
          <w:lang w:val="fr-BE"/>
        </w:rPr>
        <w:t>Emploi dans le secteur belge de l'ameublement</w:t>
      </w:r>
    </w:p>
    <w:p w14:paraId="2566A206" w14:textId="77777777" w:rsidR="004C78C0" w:rsidRPr="004C78C0" w:rsidRDefault="004C78C0" w:rsidP="004C78C0">
      <w:pPr>
        <w:pStyle w:val="BodyText"/>
        <w:rPr>
          <w:rFonts w:asciiTheme="minorHAnsi" w:hAnsiTheme="minorHAnsi" w:cstheme="minorHAnsi"/>
          <w:lang w:val="fr-BE"/>
        </w:rPr>
      </w:pPr>
    </w:p>
    <w:p w14:paraId="6D628AA8" w14:textId="77777777" w:rsidR="004C78C0" w:rsidRPr="004C78C0" w:rsidRDefault="004C78C0" w:rsidP="004C78C0">
      <w:pPr>
        <w:pStyle w:val="BodyText"/>
        <w:rPr>
          <w:rFonts w:asciiTheme="minorHAnsi" w:hAnsiTheme="minorHAnsi" w:cstheme="minorBidi"/>
          <w:lang w:val="fr-BE"/>
        </w:rPr>
      </w:pPr>
      <w:r w:rsidRPr="004C78C0">
        <w:rPr>
          <w:rFonts w:asciiTheme="minorHAnsi" w:hAnsiTheme="minorHAnsi"/>
          <w:lang w:val="fr-BE"/>
        </w:rPr>
        <w:t>719 entreprises occupaient 9.824 collaborateurs en 2021, une baisse de 82 unités en comparaison avec 2020. Aussi, en dépit de la crise du coronavirus et en partie grâce au système de chômage temporaire, l'emploi s'est assez bien maintenu.</w:t>
      </w:r>
    </w:p>
    <w:p w14:paraId="786E3DFF" w14:textId="77777777" w:rsidR="004C78C0" w:rsidRPr="004C78C0" w:rsidRDefault="004C78C0" w:rsidP="004C78C0">
      <w:pPr>
        <w:pStyle w:val="BodyText"/>
        <w:rPr>
          <w:rFonts w:asciiTheme="minorHAnsi" w:hAnsiTheme="minorHAnsi" w:cstheme="minorHAnsi"/>
          <w:szCs w:val="22"/>
          <w:lang w:val="fr-BE"/>
        </w:rPr>
      </w:pPr>
    </w:p>
    <w:p w14:paraId="384D604A" w14:textId="0555AD7E" w:rsidR="004C78C0" w:rsidRPr="004C78C0" w:rsidRDefault="004C78C0" w:rsidP="004C78C0">
      <w:pPr>
        <w:pStyle w:val="BodyText"/>
        <w:spacing w:line="259" w:lineRule="auto"/>
        <w:rPr>
          <w:rFonts w:asciiTheme="minorHAnsi" w:hAnsiTheme="minorHAnsi" w:cstheme="minorHAnsi"/>
          <w:szCs w:val="22"/>
          <w:lang w:val="fr-BE"/>
        </w:rPr>
      </w:pPr>
      <w:r w:rsidRPr="004C78C0">
        <w:rPr>
          <w:rFonts w:asciiTheme="minorHAnsi" w:hAnsiTheme="minorHAnsi"/>
          <w:lang w:val="fr-BE"/>
        </w:rPr>
        <w:t>Cependant, les entreprises du secteur de l'ameublement sont restées en permanence à la recherche de collaborateurs techniquement qualifiés afin de compenser le départ de travailleurs plus âgés.</w:t>
      </w:r>
    </w:p>
    <w:p w14:paraId="0B73CC14" w14:textId="77777777" w:rsidR="004C78C0" w:rsidRPr="004C78C0" w:rsidRDefault="004C78C0" w:rsidP="004C78C0">
      <w:pPr>
        <w:pStyle w:val="BodyText"/>
        <w:rPr>
          <w:rFonts w:asciiTheme="minorHAnsi" w:hAnsiTheme="minorHAnsi" w:cstheme="minorHAnsi"/>
          <w:szCs w:val="22"/>
          <w:lang w:val="fr-BE"/>
        </w:rPr>
      </w:pPr>
    </w:p>
    <w:p w14:paraId="7468E2E5" w14:textId="77777777" w:rsidR="004C78C0" w:rsidRPr="004C78C0" w:rsidRDefault="004C78C0" w:rsidP="004C78C0">
      <w:pPr>
        <w:pStyle w:val="BodyText"/>
        <w:rPr>
          <w:rFonts w:asciiTheme="minorHAnsi" w:hAnsiTheme="minorHAnsi" w:cstheme="minorHAnsi"/>
          <w:b/>
          <w:bCs/>
          <w:u w:val="single"/>
          <w:lang w:val="fr-BE"/>
        </w:rPr>
      </w:pPr>
      <w:r w:rsidRPr="004C78C0">
        <w:rPr>
          <w:rFonts w:asciiTheme="minorHAnsi" w:hAnsiTheme="minorHAnsi"/>
          <w:b/>
          <w:u w:val="single"/>
          <w:lang w:val="fr-BE"/>
        </w:rPr>
        <w:t>La confiance des consommateurs atteint un creux historique</w:t>
      </w:r>
    </w:p>
    <w:p w14:paraId="76D55DE7" w14:textId="77777777" w:rsidR="004C78C0" w:rsidRPr="004C78C0" w:rsidRDefault="004C78C0" w:rsidP="004C78C0">
      <w:pPr>
        <w:pStyle w:val="BodyText"/>
        <w:rPr>
          <w:rFonts w:asciiTheme="minorHAnsi" w:hAnsiTheme="minorHAnsi" w:cstheme="minorHAnsi"/>
          <w:lang w:val="fr-BE"/>
        </w:rPr>
      </w:pPr>
    </w:p>
    <w:p w14:paraId="72806AB7" w14:textId="77777777" w:rsidR="004C78C0" w:rsidRPr="004C78C0" w:rsidRDefault="004C78C0" w:rsidP="004C78C0">
      <w:pPr>
        <w:pStyle w:val="BodyText"/>
        <w:rPr>
          <w:rFonts w:asciiTheme="minorHAnsi" w:hAnsiTheme="minorHAnsi" w:cstheme="minorBidi"/>
          <w:lang w:val="fr-BE"/>
        </w:rPr>
      </w:pPr>
      <w:r w:rsidRPr="004C78C0">
        <w:rPr>
          <w:rFonts w:asciiTheme="minorHAnsi" w:hAnsiTheme="minorHAnsi"/>
          <w:lang w:val="fr-BE"/>
        </w:rPr>
        <w:t>La confiance des consommateurs belges et européens a baissé à un creux historique en septembre 2022. L'inflation fortement augmentée, la flambée des prix de l'énergie et l'incertitude persistante due à la guerre en Ukraine n'y sont certainement pas étrangères. De ce fait les consommateurs gardent les cordons de la bourse bien serrés et adoptent une attitude expectative en ce qui concerne l'achat de meubles et d'aménagement intérieur. On devine aisément quelles sont les conséquences pour le marché.</w:t>
      </w:r>
    </w:p>
    <w:p w14:paraId="438ADBCD" w14:textId="42ED6422" w:rsidR="004C78C0" w:rsidRDefault="004C78C0" w:rsidP="004C78C0">
      <w:pPr>
        <w:pStyle w:val="BodyText"/>
        <w:rPr>
          <w:rFonts w:asciiTheme="minorHAnsi" w:hAnsiTheme="minorHAnsi" w:cstheme="minorHAnsi"/>
          <w:lang w:val="fr-BE"/>
        </w:rPr>
      </w:pPr>
    </w:p>
    <w:p w14:paraId="28275062" w14:textId="074385E3" w:rsidR="004C78C0" w:rsidRDefault="004C78C0" w:rsidP="004C78C0">
      <w:pPr>
        <w:pStyle w:val="BodyText"/>
        <w:rPr>
          <w:rFonts w:asciiTheme="minorHAnsi" w:hAnsiTheme="minorHAnsi" w:cstheme="minorHAnsi"/>
          <w:lang w:val="fr-BE"/>
        </w:rPr>
      </w:pPr>
    </w:p>
    <w:p w14:paraId="4474177A" w14:textId="34B57E22" w:rsidR="004C78C0" w:rsidRDefault="004C78C0" w:rsidP="004C78C0">
      <w:pPr>
        <w:pStyle w:val="BodyText"/>
        <w:rPr>
          <w:rFonts w:asciiTheme="minorHAnsi" w:hAnsiTheme="minorHAnsi" w:cstheme="minorHAnsi"/>
          <w:lang w:val="fr-BE"/>
        </w:rPr>
      </w:pPr>
    </w:p>
    <w:p w14:paraId="31B4BDE3" w14:textId="7DE577A4" w:rsidR="004C78C0" w:rsidRDefault="004C78C0" w:rsidP="004C78C0">
      <w:pPr>
        <w:pStyle w:val="BodyText"/>
        <w:rPr>
          <w:rFonts w:asciiTheme="minorHAnsi" w:hAnsiTheme="minorHAnsi" w:cstheme="minorHAnsi"/>
          <w:lang w:val="fr-BE"/>
        </w:rPr>
      </w:pPr>
    </w:p>
    <w:p w14:paraId="672BC809" w14:textId="15A5EC0C" w:rsidR="004C78C0" w:rsidRDefault="004C78C0" w:rsidP="004C78C0">
      <w:pPr>
        <w:pStyle w:val="BodyText"/>
        <w:rPr>
          <w:rFonts w:asciiTheme="minorHAnsi" w:hAnsiTheme="minorHAnsi" w:cstheme="minorHAnsi"/>
          <w:lang w:val="fr-BE"/>
        </w:rPr>
      </w:pPr>
    </w:p>
    <w:p w14:paraId="195D359E" w14:textId="27DEBD26" w:rsidR="004C78C0" w:rsidRDefault="004C78C0" w:rsidP="004C78C0">
      <w:pPr>
        <w:pStyle w:val="BodyText"/>
        <w:rPr>
          <w:rFonts w:asciiTheme="minorHAnsi" w:hAnsiTheme="minorHAnsi" w:cstheme="minorHAnsi"/>
          <w:lang w:val="fr-BE"/>
        </w:rPr>
      </w:pPr>
    </w:p>
    <w:p w14:paraId="270B30F9" w14:textId="736295F3" w:rsidR="004C78C0" w:rsidRDefault="004C78C0" w:rsidP="004C78C0">
      <w:pPr>
        <w:pStyle w:val="BodyText"/>
        <w:rPr>
          <w:rFonts w:asciiTheme="minorHAnsi" w:hAnsiTheme="minorHAnsi" w:cstheme="minorHAnsi"/>
          <w:lang w:val="fr-BE"/>
        </w:rPr>
      </w:pPr>
    </w:p>
    <w:p w14:paraId="281F6EC9" w14:textId="58E9D0E3" w:rsidR="004C78C0" w:rsidRDefault="004C78C0" w:rsidP="004C78C0">
      <w:pPr>
        <w:pStyle w:val="BodyText"/>
        <w:rPr>
          <w:rFonts w:asciiTheme="minorHAnsi" w:hAnsiTheme="minorHAnsi" w:cstheme="minorHAnsi"/>
          <w:lang w:val="fr-BE"/>
        </w:rPr>
      </w:pPr>
    </w:p>
    <w:p w14:paraId="1CFF7354" w14:textId="0EF80F59" w:rsidR="004C78C0" w:rsidRDefault="004C78C0" w:rsidP="004C78C0">
      <w:pPr>
        <w:pStyle w:val="BodyText"/>
        <w:rPr>
          <w:rFonts w:asciiTheme="minorHAnsi" w:hAnsiTheme="minorHAnsi" w:cstheme="minorHAnsi"/>
          <w:lang w:val="fr-BE"/>
        </w:rPr>
      </w:pPr>
    </w:p>
    <w:p w14:paraId="5D7174CA" w14:textId="649A50B5" w:rsidR="004C78C0" w:rsidRDefault="004C78C0" w:rsidP="004C78C0">
      <w:pPr>
        <w:pStyle w:val="BodyText"/>
        <w:rPr>
          <w:rFonts w:asciiTheme="minorHAnsi" w:hAnsiTheme="minorHAnsi" w:cstheme="minorHAnsi"/>
          <w:lang w:val="fr-BE"/>
        </w:rPr>
      </w:pPr>
    </w:p>
    <w:p w14:paraId="0F171C1B" w14:textId="049DDDF3" w:rsidR="004C78C0" w:rsidRDefault="004C78C0" w:rsidP="004C78C0">
      <w:pPr>
        <w:pStyle w:val="BodyText"/>
        <w:rPr>
          <w:rFonts w:asciiTheme="minorHAnsi" w:hAnsiTheme="minorHAnsi" w:cstheme="minorHAnsi"/>
          <w:lang w:val="fr-BE"/>
        </w:rPr>
      </w:pPr>
    </w:p>
    <w:p w14:paraId="37587836" w14:textId="58088DA7" w:rsidR="004C78C0" w:rsidRDefault="004C78C0" w:rsidP="004C78C0">
      <w:pPr>
        <w:pStyle w:val="BodyText"/>
        <w:rPr>
          <w:rFonts w:asciiTheme="minorHAnsi" w:hAnsiTheme="minorHAnsi" w:cstheme="minorHAnsi"/>
          <w:lang w:val="fr-BE"/>
        </w:rPr>
      </w:pPr>
    </w:p>
    <w:p w14:paraId="5B2F17EF" w14:textId="38B6049D" w:rsidR="004C78C0" w:rsidRDefault="004C78C0" w:rsidP="004C78C0">
      <w:pPr>
        <w:pStyle w:val="BodyText"/>
        <w:rPr>
          <w:rFonts w:asciiTheme="minorHAnsi" w:hAnsiTheme="minorHAnsi" w:cstheme="minorHAnsi"/>
          <w:lang w:val="fr-BE"/>
        </w:rPr>
      </w:pPr>
    </w:p>
    <w:p w14:paraId="39DBDE3E" w14:textId="42E9B6E2" w:rsidR="004C78C0" w:rsidRDefault="004C78C0" w:rsidP="004C78C0">
      <w:pPr>
        <w:pStyle w:val="BodyText"/>
        <w:rPr>
          <w:rFonts w:asciiTheme="minorHAnsi" w:hAnsiTheme="minorHAnsi" w:cstheme="minorHAnsi"/>
          <w:lang w:val="fr-BE"/>
        </w:rPr>
      </w:pPr>
    </w:p>
    <w:p w14:paraId="1B19C516" w14:textId="46AA8D52" w:rsidR="004C78C0" w:rsidRDefault="004C78C0" w:rsidP="004C78C0">
      <w:pPr>
        <w:pStyle w:val="BodyText"/>
        <w:rPr>
          <w:rFonts w:asciiTheme="minorHAnsi" w:hAnsiTheme="minorHAnsi" w:cstheme="minorHAnsi"/>
          <w:lang w:val="fr-BE"/>
        </w:rPr>
      </w:pPr>
    </w:p>
    <w:p w14:paraId="17FC62B3" w14:textId="486333AF" w:rsidR="004C78C0" w:rsidRDefault="004C78C0" w:rsidP="004C78C0">
      <w:pPr>
        <w:pStyle w:val="BodyText"/>
        <w:rPr>
          <w:rFonts w:asciiTheme="minorHAnsi" w:hAnsiTheme="minorHAnsi" w:cstheme="minorHAnsi"/>
          <w:lang w:val="fr-BE"/>
        </w:rPr>
      </w:pPr>
    </w:p>
    <w:p w14:paraId="411F21E9" w14:textId="77777777" w:rsidR="004C78C0" w:rsidRPr="004C78C0" w:rsidRDefault="004C78C0" w:rsidP="004C78C0">
      <w:pPr>
        <w:pStyle w:val="BodyText"/>
        <w:rPr>
          <w:rFonts w:asciiTheme="minorHAnsi" w:hAnsiTheme="minorHAnsi" w:cstheme="minorHAnsi"/>
          <w:sz w:val="6"/>
          <w:szCs w:val="4"/>
          <w:lang w:val="fr-BE"/>
        </w:rPr>
      </w:pPr>
    </w:p>
    <w:p w14:paraId="6264CAB3" w14:textId="77777777" w:rsidR="004C78C0" w:rsidRPr="004C78C0" w:rsidRDefault="004C78C0" w:rsidP="004C78C0">
      <w:pPr>
        <w:pStyle w:val="BodyText"/>
        <w:jc w:val="center"/>
        <w:rPr>
          <w:rFonts w:asciiTheme="minorHAnsi" w:hAnsiTheme="minorHAnsi" w:cstheme="minorHAnsi"/>
          <w:b/>
          <w:bCs/>
          <w:sz w:val="20"/>
          <w:lang w:val="fr-BE"/>
        </w:rPr>
      </w:pPr>
      <w:r w:rsidRPr="004C78C0">
        <w:rPr>
          <w:rFonts w:asciiTheme="minorHAnsi" w:hAnsiTheme="minorHAnsi"/>
          <w:b/>
          <w:sz w:val="20"/>
          <w:lang w:val="fr-BE"/>
        </w:rPr>
        <w:lastRenderedPageBreak/>
        <w:t>Evolution de la confiance des consommateurs en Belgique et au sein de l'UE</w:t>
      </w:r>
    </w:p>
    <w:p w14:paraId="4FC113D0" w14:textId="77777777" w:rsidR="004C78C0" w:rsidRPr="008D777B" w:rsidRDefault="004C78C0" w:rsidP="004C78C0">
      <w:pPr>
        <w:pStyle w:val="BodyText"/>
        <w:jc w:val="center"/>
        <w:rPr>
          <w:rFonts w:asciiTheme="minorHAnsi" w:hAnsiTheme="minorHAnsi" w:cstheme="minorBidi"/>
          <w:b/>
          <w:bCs/>
          <w:sz w:val="24"/>
          <w:szCs w:val="24"/>
        </w:rPr>
      </w:pPr>
      <w:r w:rsidRPr="008D777B">
        <w:rPr>
          <w:rFonts w:asciiTheme="minorHAnsi" w:hAnsiTheme="minorHAnsi"/>
          <w:b/>
          <w:bCs/>
          <w:sz w:val="24"/>
          <w:szCs w:val="24"/>
          <w:lang w:val="fr-BE" w:eastAsia="fr-BE"/>
        </w:rPr>
        <w:drawing>
          <wp:inline distT="0" distB="0" distL="0" distR="0" wp14:anchorId="4A93F3F5" wp14:editId="2902DDD7">
            <wp:extent cx="5967873" cy="3106272"/>
            <wp:effectExtent l="0" t="0" r="0" b="0"/>
            <wp:docPr id="6" name="Image 5" descr="Chart&#10;&#10;Description automatically generated">
              <a:extLst xmlns:a="http://schemas.openxmlformats.org/drawingml/2006/main">
                <a:ext uri="{FF2B5EF4-FFF2-40B4-BE49-F238E27FC236}">
                  <a16:creationId xmlns:a16="http://schemas.microsoft.com/office/drawing/2014/main" id="{8588426D-BE5C-D74E-0105-39913AD51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Chart&#10;&#10;Description automatically generated">
                      <a:extLst>
                        <a:ext uri="{FF2B5EF4-FFF2-40B4-BE49-F238E27FC236}">
                          <a16:creationId xmlns:a16="http://schemas.microsoft.com/office/drawing/2014/main" id="{8588426D-BE5C-D74E-0105-39913AD519B4}"/>
                        </a:ext>
                      </a:extLst>
                    </pic:cNvPr>
                    <pic:cNvPicPr>
                      <a:picLocks noChangeAspect="1"/>
                    </pic:cNvPicPr>
                  </pic:nvPicPr>
                  <pic:blipFill rotWithShape="1">
                    <a:blip r:embed="rId11"/>
                    <a:srcRect t="10505"/>
                    <a:stretch/>
                  </pic:blipFill>
                  <pic:spPr bwMode="auto">
                    <a:xfrm>
                      <a:off x="0" y="0"/>
                      <a:ext cx="5995603" cy="3120706"/>
                    </a:xfrm>
                    <a:prstGeom prst="rect">
                      <a:avLst/>
                    </a:prstGeom>
                    <a:ln>
                      <a:noFill/>
                    </a:ln>
                    <a:extLst>
                      <a:ext uri="{53640926-AAD7-44D8-BBD7-CCE9431645EC}">
                        <a14:shadowObscured xmlns:a14="http://schemas.microsoft.com/office/drawing/2010/main"/>
                      </a:ext>
                    </a:extLst>
                  </pic:spPr>
                </pic:pic>
              </a:graphicData>
            </a:graphic>
          </wp:inline>
        </w:drawing>
      </w:r>
    </w:p>
    <w:p w14:paraId="3D21E3C9" w14:textId="77777777" w:rsidR="004C78C0" w:rsidRPr="004C78C0" w:rsidRDefault="004C78C0" w:rsidP="004C78C0">
      <w:pPr>
        <w:pStyle w:val="BodyText"/>
        <w:ind w:firstLine="284"/>
        <w:rPr>
          <w:rFonts w:asciiTheme="minorHAnsi" w:hAnsiTheme="minorHAnsi" w:cstheme="minorHAnsi"/>
          <w:sz w:val="16"/>
          <w:szCs w:val="16"/>
          <w:lang w:val="fr-BE"/>
        </w:rPr>
      </w:pPr>
      <w:r w:rsidRPr="004C78C0">
        <w:rPr>
          <w:rFonts w:asciiTheme="minorHAnsi" w:hAnsiTheme="minorHAnsi"/>
          <w:sz w:val="16"/>
          <w:lang w:val="fr-BE"/>
        </w:rPr>
        <w:t>Source : Commission européenne</w:t>
      </w:r>
    </w:p>
    <w:p w14:paraId="582C6BF6" w14:textId="77777777" w:rsidR="004C78C0" w:rsidRPr="004C78C0" w:rsidRDefault="004C78C0" w:rsidP="004C78C0">
      <w:pPr>
        <w:pStyle w:val="BodyText"/>
        <w:rPr>
          <w:rFonts w:asciiTheme="minorHAnsi" w:hAnsiTheme="minorHAnsi" w:cstheme="minorHAnsi"/>
          <w:lang w:val="fr-BE"/>
        </w:rPr>
      </w:pPr>
    </w:p>
    <w:p w14:paraId="3B36A352" w14:textId="77777777" w:rsidR="004C78C0" w:rsidRPr="004C78C0" w:rsidRDefault="004C78C0" w:rsidP="004C78C0">
      <w:pPr>
        <w:pStyle w:val="BodyText"/>
        <w:rPr>
          <w:rFonts w:asciiTheme="minorHAnsi" w:hAnsiTheme="minorHAnsi" w:cstheme="minorHAnsi"/>
          <w:b/>
          <w:u w:val="single"/>
          <w:lang w:val="fr-BE"/>
        </w:rPr>
      </w:pPr>
      <w:r w:rsidRPr="004C78C0">
        <w:rPr>
          <w:rFonts w:asciiTheme="minorHAnsi" w:hAnsiTheme="minorHAnsi"/>
          <w:b/>
          <w:u w:val="single"/>
          <w:lang w:val="fr-BE"/>
        </w:rPr>
        <w:t xml:space="preserve">Niveau des commandes en baisse dans le commerce de l'ameublement </w:t>
      </w:r>
    </w:p>
    <w:p w14:paraId="3A244A4B" w14:textId="77777777" w:rsidR="004C78C0" w:rsidRPr="004C78C0" w:rsidRDefault="004C78C0" w:rsidP="004C78C0">
      <w:pPr>
        <w:pStyle w:val="BodyText"/>
        <w:rPr>
          <w:rFonts w:asciiTheme="minorHAnsi" w:hAnsiTheme="minorHAnsi" w:cstheme="minorHAnsi"/>
          <w:b/>
          <w:lang w:val="fr-BE"/>
        </w:rPr>
      </w:pPr>
    </w:p>
    <w:p w14:paraId="1D43005B" w14:textId="77777777" w:rsidR="004C78C0" w:rsidRPr="004C78C0" w:rsidRDefault="004C78C0" w:rsidP="004C78C0">
      <w:pPr>
        <w:pStyle w:val="BodyText"/>
        <w:rPr>
          <w:rFonts w:asciiTheme="minorHAnsi" w:hAnsiTheme="minorHAnsi" w:cstheme="minorHAnsi"/>
          <w:lang w:val="fr-BE"/>
        </w:rPr>
      </w:pPr>
      <w:r w:rsidRPr="004C78C0">
        <w:rPr>
          <w:rFonts w:asciiTheme="minorHAnsi" w:hAnsiTheme="minorHAnsi"/>
          <w:lang w:val="fr-BE"/>
        </w:rPr>
        <w:t>Selon l’enquête mensuelle de la Banque Nationale de Belgique, les commandes reçues dans le commerce belge de l'ameublement ont chuté de 4,3 % au cours des 8 premiers mois de 2022, cumulés. Des chiffres positifs n'ont été enregistrés qu'en janvier et en avril. Les soldes d'été ont aussi été plutôt négatives. Cela est probablement imputable à la crise énergétique et à l'incertitude due à la guerre en Ukraine, mais également à une structure des dépenses modifiée après la fin des mesures de lutte contre le coronavirus.</w:t>
      </w:r>
    </w:p>
    <w:p w14:paraId="2E71661F" w14:textId="77777777" w:rsidR="004C78C0" w:rsidRPr="008D777B" w:rsidRDefault="004C78C0" w:rsidP="004C78C0">
      <w:pPr>
        <w:rPr>
          <w:rFonts w:cstheme="minorHAnsi"/>
          <w:highlight w:val="yellow"/>
        </w:rPr>
      </w:pPr>
    </w:p>
    <w:p w14:paraId="4F677C8A" w14:textId="77777777" w:rsidR="004C78C0" w:rsidRPr="008D777B" w:rsidRDefault="004C78C0" w:rsidP="004C78C0">
      <w:pPr>
        <w:pStyle w:val="BodyText"/>
        <w:jc w:val="left"/>
        <w:rPr>
          <w:rFonts w:asciiTheme="minorHAnsi" w:hAnsiTheme="minorHAnsi" w:cstheme="minorHAnsi"/>
          <w:highlight w:val="yellow"/>
        </w:rPr>
      </w:pPr>
      <w:r w:rsidRPr="008D777B">
        <w:rPr>
          <w:rFonts w:asciiTheme="minorHAnsi" w:hAnsiTheme="minorHAnsi"/>
          <w:highlight w:val="yellow"/>
          <w:lang w:val="fr-BE" w:eastAsia="fr-BE"/>
        </w:rPr>
        <mc:AlternateContent>
          <mc:Choice Requires="wps">
            <w:drawing>
              <wp:anchor distT="0" distB="0" distL="114300" distR="114300" simplePos="0" relativeHeight="251659264" behindDoc="0" locked="0" layoutInCell="1" allowOverlap="1" wp14:anchorId="6E0540CB" wp14:editId="5A9394B8">
                <wp:simplePos x="0" y="0"/>
                <wp:positionH relativeFrom="margin">
                  <wp:posOffset>1863791</wp:posOffset>
                </wp:positionH>
                <wp:positionV relativeFrom="paragraph">
                  <wp:posOffset>268714</wp:posOffset>
                </wp:positionV>
                <wp:extent cx="3862425" cy="609600"/>
                <wp:effectExtent l="0" t="0" r="0" b="0"/>
                <wp:wrapNone/>
                <wp:docPr id="8"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2425" cy="609600"/>
                        </a:xfrm>
                        <a:prstGeom prst="rect">
                          <a:avLst/>
                        </a:prstGeom>
                      </wps:spPr>
                      <wps:txbx>
                        <w:txbxContent>
                          <w:p w14:paraId="4AF7B6BB" w14:textId="77777777" w:rsidR="00654255" w:rsidRPr="00556570" w:rsidRDefault="00654255" w:rsidP="004C78C0">
                            <w:pPr>
                              <w:pStyle w:val="NormalWeb"/>
                              <w:kinsoku w:val="0"/>
                              <w:overflowPunct w:val="0"/>
                              <w:spacing w:before="0" w:beforeAutospacing="0" w:after="0" w:afterAutospacing="0"/>
                              <w:jc w:val="center"/>
                              <w:textAlignment w:val="baseline"/>
                              <w:rPr>
                                <w:sz w:val="12"/>
                                <w:szCs w:val="20"/>
                                <w:lang w:val="fr-BE"/>
                              </w:rPr>
                            </w:pPr>
                            <w:r w:rsidRPr="00556570">
                              <w:rPr>
                                <w:rFonts w:ascii="Calibri" w:hAnsi="Calibri"/>
                                <w:b/>
                                <w:color w:val="2D3721"/>
                                <w:sz w:val="20"/>
                                <w:lang w:val="fr-BE"/>
                              </w:rPr>
                              <w:t xml:space="preserve">Evolution des commandes reçues dans le commerce </w:t>
                            </w:r>
                            <w:r w:rsidRPr="00556570">
                              <w:rPr>
                                <w:rFonts w:ascii="Calibri" w:hAnsi="Calibri"/>
                                <w:b/>
                                <w:color w:val="2D3721"/>
                                <w:sz w:val="20"/>
                                <w:lang w:val="fr-BE"/>
                              </w:rPr>
                              <w:br/>
                              <w:t>de l'ameublement</w:t>
                            </w:r>
                          </w:p>
                          <w:p w14:paraId="1C2A093D" w14:textId="77777777" w:rsidR="00654255" w:rsidRPr="00350FF0" w:rsidRDefault="00654255" w:rsidP="004C78C0">
                            <w:pPr>
                              <w:pStyle w:val="NormalWeb"/>
                              <w:kinsoku w:val="0"/>
                              <w:overflowPunct w:val="0"/>
                              <w:spacing w:before="0" w:beforeAutospacing="0" w:after="0" w:afterAutospacing="0"/>
                              <w:jc w:val="center"/>
                              <w:textAlignment w:val="baseline"/>
                              <w:rPr>
                                <w:sz w:val="12"/>
                                <w:szCs w:val="20"/>
                              </w:rPr>
                            </w:pPr>
                            <w:r>
                              <w:rPr>
                                <w:rFonts w:ascii="Calibri" w:hAnsi="Calibri"/>
                                <w:b/>
                                <w:color w:val="2D3721"/>
                                <w:sz w:val="20"/>
                              </w:rPr>
                              <w:t>(cumul 8 M 2022 = -4,3 %)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E0540CB" id="_x0000_t202" coordsize="21600,21600" o:spt="202" path="m,l,21600r21600,l21600,xe">
                <v:stroke joinstyle="miter"/>
                <v:path gradientshapeok="t" o:connecttype="rect"/>
              </v:shapetype>
              <v:shape id="Titel 1" o:spid="_x0000_s1026" type="#_x0000_t202" style="position:absolute;margin-left:146.75pt;margin-top:21.15pt;width:304.1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" filled="f" stroked="f">
                <v:textbox>
                  <w:txbxContent>
                    <w:p w14:paraId="4AF7B6BB" w14:textId="77777777" w:rsidR="00654255" w:rsidRPr="00556570" w:rsidRDefault="00654255" w:rsidP="004C78C0">
                      <w:pPr>
                        <w:pStyle w:val="NormalWeb"/>
                        <w:kinsoku w:val="0"/>
                        <w:overflowPunct w:val="0"/>
                        <w:spacing w:before="0" w:beforeAutospacing="0" w:after="0" w:afterAutospacing="0"/>
                        <w:jc w:val="center"/>
                        <w:textAlignment w:val="baseline"/>
                        <w:rPr>
                          <w:sz w:val="12"/>
                          <w:szCs w:val="20"/>
                          <w:lang w:val="fr-BE"/>
                        </w:rPr>
                      </w:pPr>
                      <w:r w:rsidRPr="00556570">
                        <w:rPr>
                          <w:rFonts w:ascii="Calibri" w:hAnsi="Calibri"/>
                          <w:b/>
                          <w:color w:val="2D3721"/>
                          <w:sz w:val="20"/>
                          <w:lang w:val="fr-BE"/>
                        </w:rPr>
                        <w:t xml:space="preserve">Evolution des commandes reçues dans le commerce </w:t>
                      </w:r>
                      <w:r w:rsidRPr="00556570">
                        <w:rPr>
                          <w:rFonts w:ascii="Calibri" w:hAnsi="Calibri"/>
                          <w:b/>
                          <w:color w:val="2D3721"/>
                          <w:sz w:val="20"/>
                          <w:lang w:val="fr-BE"/>
                        </w:rPr>
                        <w:br/>
                        <w:t>de l'ameublement</w:t>
                      </w:r>
                    </w:p>
                    <w:p w14:paraId="1C2A093D" w14:textId="77777777" w:rsidR="00654255" w:rsidRPr="00350FF0" w:rsidRDefault="00654255" w:rsidP="004C78C0">
                      <w:pPr>
                        <w:pStyle w:val="NormalWeb"/>
                        <w:kinsoku w:val="0"/>
                        <w:overflowPunct w:val="0"/>
                        <w:spacing w:before="0" w:beforeAutospacing="0" w:after="0" w:afterAutospacing="0"/>
                        <w:jc w:val="center"/>
                        <w:textAlignment w:val="baseline"/>
                        <w:rPr>
                          <w:sz w:val="12"/>
                          <w:szCs w:val="20"/>
                        </w:rPr>
                      </w:pPr>
                      <w:r>
                        <w:rPr>
                          <w:rFonts w:ascii="Calibri" w:hAnsi="Calibri"/>
                          <w:b/>
                          <w:color w:val="2D3721"/>
                          <w:sz w:val="20"/>
                        </w:rPr>
                        <w:t>(cumul 8 M 2022 = -4,3 %)</w:t>
                      </w:r>
                    </w:p>
                  </w:txbxContent>
                </v:textbox>
                <w10:wrap anchorx="margin"/>
              </v:shape>
            </w:pict>
          </mc:Fallback>
        </mc:AlternateContent>
      </w:r>
      <w:r w:rsidRPr="008D777B">
        <w:rPr>
          <w:lang w:val="fr-BE" w:eastAsia="fr-BE"/>
        </w:rPr>
        <w:drawing>
          <wp:inline distT="0" distB="0" distL="0" distR="0" wp14:anchorId="6ABD431D" wp14:editId="79C49B6E">
            <wp:extent cx="5844844" cy="2165300"/>
            <wp:effectExtent l="0" t="0" r="3810" b="6985"/>
            <wp:docPr id="1" name="Grafiek 1">
              <a:extLst xmlns:a="http://schemas.openxmlformats.org/drawingml/2006/main">
                <a:ext uri="{FF2B5EF4-FFF2-40B4-BE49-F238E27FC236}">
                  <a16:creationId xmlns:a16="http://schemas.microsoft.com/office/drawing/2014/main" id="{C6321D87-23F5-431A-9F91-AEB319575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21ACB3" w14:textId="77777777" w:rsidR="004C78C0" w:rsidRPr="004C78C0" w:rsidRDefault="004C78C0" w:rsidP="004C78C0">
      <w:pPr>
        <w:pStyle w:val="BodyText"/>
        <w:rPr>
          <w:rFonts w:asciiTheme="minorHAnsi" w:hAnsiTheme="minorHAnsi" w:cstheme="minorHAnsi"/>
          <w:lang w:val="fr-BE"/>
        </w:rPr>
      </w:pPr>
      <w:r w:rsidRPr="004C78C0">
        <w:rPr>
          <w:rFonts w:asciiTheme="minorHAnsi" w:hAnsiTheme="minorHAnsi"/>
          <w:sz w:val="16"/>
          <w:lang w:val="fr-BE"/>
        </w:rPr>
        <w:t>Source : Banque nationale de Belgique</w:t>
      </w:r>
    </w:p>
    <w:p w14:paraId="36EB1E74" w14:textId="77777777" w:rsidR="004C78C0" w:rsidRPr="008D777B" w:rsidRDefault="004C78C0" w:rsidP="004C78C0">
      <w:pPr>
        <w:rPr>
          <w:rFonts w:cstheme="minorHAnsi"/>
        </w:rPr>
      </w:pPr>
      <w:r w:rsidRPr="008D777B">
        <w:br w:type="page"/>
      </w:r>
    </w:p>
    <w:p w14:paraId="74FC104B" w14:textId="77777777" w:rsidR="004C78C0" w:rsidRPr="004C78C0" w:rsidRDefault="004C78C0" w:rsidP="004C78C0">
      <w:pPr>
        <w:pStyle w:val="BodyText"/>
        <w:rPr>
          <w:rFonts w:asciiTheme="minorHAnsi" w:hAnsiTheme="minorHAnsi" w:cstheme="minorHAnsi"/>
          <w:b/>
          <w:u w:val="single"/>
          <w:lang w:val="fr-BE"/>
        </w:rPr>
      </w:pPr>
      <w:r w:rsidRPr="004C78C0">
        <w:rPr>
          <w:rFonts w:asciiTheme="minorHAnsi" w:hAnsiTheme="minorHAnsi"/>
          <w:b/>
          <w:u w:val="single"/>
          <w:lang w:val="fr-BE"/>
        </w:rPr>
        <w:lastRenderedPageBreak/>
        <w:t>Commerce extérieur : les importations diminuent, les exportations se stabilisent</w:t>
      </w:r>
    </w:p>
    <w:p w14:paraId="050A0A61" w14:textId="77777777" w:rsidR="004C78C0" w:rsidRPr="004C78C0" w:rsidRDefault="004C78C0" w:rsidP="004C78C0">
      <w:pPr>
        <w:pStyle w:val="BodyText"/>
        <w:rPr>
          <w:rFonts w:asciiTheme="minorHAnsi" w:hAnsiTheme="minorHAnsi" w:cstheme="minorHAnsi"/>
          <w:b/>
          <w:lang w:val="fr-BE"/>
        </w:rPr>
      </w:pPr>
    </w:p>
    <w:p w14:paraId="6D3CEBE6" w14:textId="77777777" w:rsidR="004C78C0" w:rsidRPr="004C78C0" w:rsidRDefault="004C78C0" w:rsidP="004C78C0">
      <w:pPr>
        <w:pStyle w:val="BodyText"/>
        <w:rPr>
          <w:rFonts w:asciiTheme="minorHAnsi" w:hAnsiTheme="minorHAnsi" w:cstheme="minorBidi"/>
          <w:lang w:val="fr-BE"/>
        </w:rPr>
      </w:pPr>
      <w:r w:rsidRPr="004C78C0">
        <w:rPr>
          <w:rFonts w:asciiTheme="minorHAnsi" w:hAnsiTheme="minorHAnsi"/>
          <w:lang w:val="fr-BE"/>
        </w:rPr>
        <w:t xml:space="preserve">Durant le premier semestre 2022, </w:t>
      </w:r>
      <w:r w:rsidRPr="004C78C0">
        <w:rPr>
          <w:rFonts w:asciiTheme="minorHAnsi" w:hAnsiTheme="minorHAnsi"/>
          <w:b/>
          <w:bCs/>
          <w:lang w:val="fr-BE"/>
        </w:rPr>
        <w:t>les exportations des meubles belges</w:t>
      </w:r>
      <w:r w:rsidRPr="004C78C0">
        <w:rPr>
          <w:rFonts w:asciiTheme="minorHAnsi" w:hAnsiTheme="minorHAnsi"/>
          <w:lang w:val="fr-BE"/>
        </w:rPr>
        <w:t xml:space="preserve"> (transit compris) ont augmenté de 1 % en valeur par rapport au premier semestre 2021. Tenant compte de l'augmentation du prix de revient, cela signifie pourtant bel et bien une baisse du volume. Les exportations de meubles ont atteint presque 870 millions d'euros, la France étant toujours le marché d'exportation principal pour les meubles belges, et affichant une augmentation de 8,5 %. L'exportation vers les Pays-Bas a baissé de 0,9 % et vers l'Allemagne de 2,8 %. Au sein de l'UE, l'Espagne est devenue le 4</w:t>
      </w:r>
      <w:r w:rsidRPr="004C78C0">
        <w:rPr>
          <w:rFonts w:asciiTheme="minorHAnsi" w:hAnsiTheme="minorHAnsi"/>
          <w:vertAlign w:val="superscript"/>
          <w:lang w:val="fr-BE"/>
        </w:rPr>
        <w:t>ème</w:t>
      </w:r>
      <w:r w:rsidRPr="004C78C0">
        <w:rPr>
          <w:rFonts w:asciiTheme="minorHAnsi" w:hAnsiTheme="minorHAnsi"/>
          <w:lang w:val="fr-BE"/>
        </w:rPr>
        <w:t xml:space="preserve"> marché d'exportation.</w:t>
      </w:r>
    </w:p>
    <w:p w14:paraId="5532CD64" w14:textId="77777777" w:rsidR="004C78C0" w:rsidRPr="004C78C0" w:rsidRDefault="004C78C0" w:rsidP="004C78C0">
      <w:pPr>
        <w:pStyle w:val="BodyText"/>
        <w:rPr>
          <w:rFonts w:asciiTheme="minorHAnsi" w:hAnsiTheme="minorHAnsi" w:cstheme="minorHAnsi"/>
          <w:lang w:val="fr-BE"/>
        </w:rPr>
      </w:pPr>
    </w:p>
    <w:p w14:paraId="18FE5277" w14:textId="77777777" w:rsidR="004C78C0" w:rsidRPr="004C78C0" w:rsidRDefault="004C78C0" w:rsidP="004C78C0">
      <w:pPr>
        <w:pStyle w:val="BodyText"/>
        <w:rPr>
          <w:rFonts w:asciiTheme="minorHAnsi" w:hAnsiTheme="minorHAnsi" w:cstheme="minorHAnsi"/>
          <w:lang w:val="fr-BE"/>
        </w:rPr>
      </w:pPr>
      <w:r w:rsidRPr="004C78C0">
        <w:rPr>
          <w:rFonts w:asciiTheme="minorHAnsi" w:hAnsiTheme="minorHAnsi"/>
          <w:lang w:val="fr-BE"/>
        </w:rPr>
        <w:t xml:space="preserve">En parallèle avec la baisse de la demande, la valeur de </w:t>
      </w:r>
      <w:r w:rsidRPr="004C78C0">
        <w:rPr>
          <w:rFonts w:asciiTheme="minorHAnsi" w:hAnsiTheme="minorHAnsi"/>
          <w:b/>
          <w:bCs/>
          <w:lang w:val="fr-BE"/>
        </w:rPr>
        <w:t>l'importation de meubles</w:t>
      </w:r>
      <w:r w:rsidRPr="004C78C0">
        <w:rPr>
          <w:rFonts w:asciiTheme="minorHAnsi" w:hAnsiTheme="minorHAnsi"/>
          <w:lang w:val="fr-BE"/>
        </w:rPr>
        <w:t xml:space="preserve"> a baissé de 5,2 % globalement, et l'importation depuis d'autres pays en dehors de l'Union européenne a même baissé de 18,5 %. La Chine (+14,4 %), l'Indonésie (+51,2 %) et le Vietnam (+57 %) ont augmenté leur importance sur le marché belge de l'ameublement. La baisse des prix des conteneurs et la suppression des restrictions dues au coronavirus peuvent certainement y avoir joué un rôle, mais l'importation depuis ces pays avait aussi déjà augmenté en 2021.</w:t>
      </w:r>
    </w:p>
    <w:p w14:paraId="6FAE709A" w14:textId="77777777" w:rsidR="004C78C0" w:rsidRPr="004C78C0" w:rsidRDefault="004C78C0" w:rsidP="004C78C0">
      <w:pPr>
        <w:pStyle w:val="BodyText"/>
        <w:rPr>
          <w:rFonts w:asciiTheme="minorHAnsi" w:hAnsiTheme="minorHAnsi" w:cstheme="minorHAnsi"/>
          <w:lang w:val="fr-BE"/>
        </w:rPr>
      </w:pPr>
    </w:p>
    <w:tbl>
      <w:tblPr>
        <w:tblW w:w="9063" w:type="dxa"/>
        <w:tblCellMar>
          <w:left w:w="70" w:type="dxa"/>
          <w:right w:w="70" w:type="dxa"/>
        </w:tblCellMar>
        <w:tblLook w:val="04A0" w:firstRow="1" w:lastRow="0" w:firstColumn="1" w:lastColumn="0" w:noHBand="0" w:noVBand="1"/>
      </w:tblPr>
      <w:tblGrid>
        <w:gridCol w:w="1304"/>
        <w:gridCol w:w="905"/>
        <w:gridCol w:w="990"/>
        <w:gridCol w:w="990"/>
        <w:gridCol w:w="673"/>
        <w:gridCol w:w="829"/>
        <w:gridCol w:w="854"/>
        <w:gridCol w:w="854"/>
        <w:gridCol w:w="673"/>
        <w:gridCol w:w="991"/>
      </w:tblGrid>
      <w:tr w:rsidR="004C78C0" w:rsidRPr="008D777B" w14:paraId="568D2870" w14:textId="77777777" w:rsidTr="00654255">
        <w:tc>
          <w:tcPr>
            <w:tcW w:w="9063" w:type="dxa"/>
            <w:gridSpan w:val="10"/>
            <w:tcBorders>
              <w:top w:val="single" w:sz="4" w:space="0" w:color="auto"/>
              <w:left w:val="single" w:sz="4" w:space="0" w:color="auto"/>
              <w:bottom w:val="single" w:sz="4" w:space="0" w:color="auto"/>
              <w:right w:val="single" w:sz="4" w:space="0" w:color="000000"/>
            </w:tcBorders>
            <w:shd w:val="clear" w:color="auto" w:fill="FFC000"/>
            <w:noWrap/>
            <w:vAlign w:val="center"/>
            <w:hideMark/>
          </w:tcPr>
          <w:p w14:paraId="1222A7D4" w14:textId="77777777" w:rsidR="004C78C0" w:rsidRPr="008D777B" w:rsidRDefault="004C78C0" w:rsidP="00654255">
            <w:pPr>
              <w:jc w:val="center"/>
              <w:rPr>
                <w:rFonts w:cstheme="minorHAnsi"/>
                <w:b/>
                <w:bCs/>
                <w:sz w:val="16"/>
                <w:szCs w:val="16"/>
              </w:rPr>
            </w:pPr>
            <w:r w:rsidRPr="008D777B">
              <w:rPr>
                <w:b/>
                <w:sz w:val="16"/>
              </w:rPr>
              <w:t>Commerce extérieur de l'industrie de l'ameublement (meubles en métal et matière synthétique inclus)</w:t>
            </w:r>
          </w:p>
        </w:tc>
      </w:tr>
      <w:tr w:rsidR="004C78C0" w:rsidRPr="008D777B" w14:paraId="6E3F7FA5" w14:textId="77777777" w:rsidTr="00654255">
        <w:tc>
          <w:tcPr>
            <w:tcW w:w="1304" w:type="dxa"/>
            <w:tcBorders>
              <w:top w:val="nil"/>
              <w:left w:val="single" w:sz="4" w:space="0" w:color="auto"/>
              <w:bottom w:val="nil"/>
              <w:right w:val="nil"/>
            </w:tcBorders>
            <w:shd w:val="clear" w:color="000000" w:fill="FFFFFF"/>
            <w:noWrap/>
            <w:vAlign w:val="bottom"/>
            <w:hideMark/>
          </w:tcPr>
          <w:p w14:paraId="005521EA" w14:textId="77777777" w:rsidR="004C78C0" w:rsidRPr="008D777B" w:rsidRDefault="004C78C0" w:rsidP="00654255">
            <w:pPr>
              <w:rPr>
                <w:rFonts w:cstheme="minorHAnsi"/>
                <w:color w:val="000000"/>
                <w:sz w:val="16"/>
                <w:szCs w:val="16"/>
              </w:rPr>
            </w:pPr>
            <w:r w:rsidRPr="008D777B">
              <w:rPr>
                <w:color w:val="000000"/>
                <w:sz w:val="16"/>
              </w:rPr>
              <w:t> </w:t>
            </w:r>
          </w:p>
        </w:tc>
        <w:tc>
          <w:tcPr>
            <w:tcW w:w="3558"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5D02BD96" w14:textId="77777777" w:rsidR="004C78C0" w:rsidRPr="008D777B" w:rsidRDefault="004C78C0" w:rsidP="00654255">
            <w:pPr>
              <w:jc w:val="center"/>
              <w:rPr>
                <w:rFonts w:cstheme="minorHAnsi"/>
                <w:b/>
                <w:bCs/>
                <w:color w:val="000000"/>
                <w:sz w:val="16"/>
                <w:szCs w:val="16"/>
              </w:rPr>
            </w:pPr>
            <w:r w:rsidRPr="008D777B">
              <w:rPr>
                <w:b/>
                <w:color w:val="000000"/>
                <w:sz w:val="16"/>
              </w:rPr>
              <w:t>Importations belges</w:t>
            </w:r>
          </w:p>
        </w:tc>
        <w:tc>
          <w:tcPr>
            <w:tcW w:w="3210" w:type="dxa"/>
            <w:gridSpan w:val="4"/>
            <w:tcBorders>
              <w:top w:val="nil"/>
              <w:left w:val="nil"/>
              <w:bottom w:val="nil"/>
              <w:right w:val="nil"/>
            </w:tcBorders>
            <w:shd w:val="clear" w:color="000000" w:fill="FFFFFF"/>
            <w:noWrap/>
            <w:vAlign w:val="bottom"/>
            <w:hideMark/>
          </w:tcPr>
          <w:p w14:paraId="4D300A72" w14:textId="77777777" w:rsidR="004C78C0" w:rsidRPr="008D777B" w:rsidRDefault="004C78C0" w:rsidP="00654255">
            <w:pPr>
              <w:jc w:val="center"/>
              <w:rPr>
                <w:rFonts w:cstheme="minorHAnsi"/>
                <w:b/>
                <w:bCs/>
                <w:color w:val="000000"/>
                <w:sz w:val="16"/>
                <w:szCs w:val="16"/>
              </w:rPr>
            </w:pPr>
            <w:r w:rsidRPr="008D777B">
              <w:rPr>
                <w:b/>
                <w:color w:val="000000"/>
                <w:sz w:val="16"/>
              </w:rPr>
              <w:t>Exportations belges</w:t>
            </w:r>
          </w:p>
        </w:tc>
        <w:tc>
          <w:tcPr>
            <w:tcW w:w="991" w:type="dxa"/>
            <w:tcBorders>
              <w:top w:val="nil"/>
              <w:left w:val="single" w:sz="4" w:space="0" w:color="auto"/>
              <w:bottom w:val="nil"/>
              <w:right w:val="single" w:sz="4" w:space="0" w:color="auto"/>
            </w:tcBorders>
            <w:shd w:val="clear" w:color="000000" w:fill="FFFFFF"/>
            <w:noWrap/>
            <w:vAlign w:val="bottom"/>
            <w:hideMark/>
          </w:tcPr>
          <w:p w14:paraId="470D8F4E" w14:textId="77777777" w:rsidR="004C78C0" w:rsidRPr="008D777B" w:rsidRDefault="004C78C0" w:rsidP="00654255">
            <w:pPr>
              <w:jc w:val="center"/>
              <w:rPr>
                <w:rFonts w:cstheme="minorHAnsi"/>
                <w:color w:val="000000"/>
                <w:sz w:val="16"/>
                <w:szCs w:val="16"/>
              </w:rPr>
            </w:pPr>
            <w:r w:rsidRPr="008D777B">
              <w:rPr>
                <w:color w:val="000000"/>
                <w:sz w:val="16"/>
              </w:rPr>
              <w:t>Taux de</w:t>
            </w:r>
          </w:p>
        </w:tc>
      </w:tr>
      <w:tr w:rsidR="004C78C0" w:rsidRPr="008D777B" w14:paraId="40D4F9CD" w14:textId="77777777" w:rsidTr="00654255">
        <w:tc>
          <w:tcPr>
            <w:tcW w:w="1304" w:type="dxa"/>
            <w:tcBorders>
              <w:top w:val="nil"/>
              <w:left w:val="single" w:sz="4" w:space="0" w:color="auto"/>
              <w:bottom w:val="nil"/>
              <w:right w:val="nil"/>
            </w:tcBorders>
            <w:shd w:val="clear" w:color="000000" w:fill="FFFFFF"/>
            <w:noWrap/>
            <w:vAlign w:val="bottom"/>
            <w:hideMark/>
          </w:tcPr>
          <w:p w14:paraId="1510D4C1" w14:textId="77777777" w:rsidR="004C78C0" w:rsidRPr="008D777B" w:rsidRDefault="004C78C0" w:rsidP="00654255">
            <w:pPr>
              <w:rPr>
                <w:rFonts w:cstheme="minorHAnsi"/>
                <w:color w:val="000000"/>
                <w:sz w:val="16"/>
                <w:szCs w:val="16"/>
              </w:rPr>
            </w:pPr>
            <w:r w:rsidRPr="008D777B">
              <w:rPr>
                <w:color w:val="000000"/>
                <w:sz w:val="16"/>
              </w:rPr>
              <w:t> </w:t>
            </w:r>
          </w:p>
        </w:tc>
        <w:tc>
          <w:tcPr>
            <w:tcW w:w="905" w:type="dxa"/>
            <w:tcBorders>
              <w:top w:val="nil"/>
              <w:left w:val="single" w:sz="4" w:space="0" w:color="auto"/>
              <w:bottom w:val="nil"/>
              <w:right w:val="nil"/>
            </w:tcBorders>
            <w:shd w:val="clear" w:color="000000" w:fill="FFFFFF"/>
            <w:noWrap/>
            <w:vAlign w:val="bottom"/>
            <w:hideMark/>
          </w:tcPr>
          <w:p w14:paraId="41BEB4AC" w14:textId="77777777" w:rsidR="004C78C0" w:rsidRPr="008D777B" w:rsidRDefault="004C78C0" w:rsidP="00654255">
            <w:pPr>
              <w:jc w:val="center"/>
              <w:rPr>
                <w:rFonts w:cstheme="minorHAnsi"/>
                <w:color w:val="000000"/>
                <w:sz w:val="16"/>
                <w:szCs w:val="16"/>
              </w:rPr>
            </w:pPr>
            <w:r w:rsidRPr="008D777B">
              <w:rPr>
                <w:color w:val="000000"/>
                <w:sz w:val="16"/>
              </w:rPr>
              <w:t>Part</w:t>
            </w:r>
          </w:p>
        </w:tc>
        <w:tc>
          <w:tcPr>
            <w:tcW w:w="990" w:type="dxa"/>
            <w:tcBorders>
              <w:top w:val="nil"/>
              <w:left w:val="nil"/>
              <w:bottom w:val="nil"/>
              <w:right w:val="nil"/>
            </w:tcBorders>
            <w:shd w:val="clear" w:color="000000" w:fill="FFFFFF"/>
            <w:noWrap/>
            <w:vAlign w:val="bottom"/>
            <w:hideMark/>
          </w:tcPr>
          <w:p w14:paraId="4C260C0A"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990" w:type="dxa"/>
            <w:tcBorders>
              <w:top w:val="nil"/>
              <w:left w:val="nil"/>
              <w:bottom w:val="nil"/>
              <w:right w:val="nil"/>
            </w:tcBorders>
            <w:shd w:val="clear" w:color="000000" w:fill="FFFFFF"/>
            <w:noWrap/>
            <w:vAlign w:val="bottom"/>
            <w:hideMark/>
          </w:tcPr>
          <w:p w14:paraId="6AA8C880"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673" w:type="dxa"/>
            <w:tcBorders>
              <w:top w:val="nil"/>
              <w:left w:val="nil"/>
              <w:bottom w:val="nil"/>
              <w:right w:val="single" w:sz="4" w:space="0" w:color="auto"/>
            </w:tcBorders>
            <w:shd w:val="clear" w:color="000000" w:fill="FFFFFF"/>
            <w:noWrap/>
            <w:vAlign w:val="bottom"/>
            <w:hideMark/>
          </w:tcPr>
          <w:p w14:paraId="6820D3C7"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829" w:type="dxa"/>
            <w:tcBorders>
              <w:top w:val="nil"/>
              <w:left w:val="nil"/>
              <w:bottom w:val="nil"/>
              <w:right w:val="nil"/>
            </w:tcBorders>
            <w:shd w:val="clear" w:color="000000" w:fill="FFFFFF"/>
            <w:noWrap/>
            <w:vAlign w:val="bottom"/>
            <w:hideMark/>
          </w:tcPr>
          <w:p w14:paraId="4E696E1B" w14:textId="77777777" w:rsidR="004C78C0" w:rsidRPr="008D777B" w:rsidRDefault="004C78C0" w:rsidP="00654255">
            <w:pPr>
              <w:jc w:val="center"/>
              <w:rPr>
                <w:rFonts w:cstheme="minorHAnsi"/>
                <w:color w:val="000000"/>
                <w:sz w:val="16"/>
                <w:szCs w:val="16"/>
              </w:rPr>
            </w:pPr>
            <w:r w:rsidRPr="008D777B">
              <w:rPr>
                <w:color w:val="000000"/>
                <w:sz w:val="16"/>
              </w:rPr>
              <w:t>Part</w:t>
            </w:r>
          </w:p>
        </w:tc>
        <w:tc>
          <w:tcPr>
            <w:tcW w:w="854" w:type="dxa"/>
            <w:tcBorders>
              <w:top w:val="nil"/>
              <w:left w:val="nil"/>
              <w:bottom w:val="nil"/>
              <w:right w:val="nil"/>
            </w:tcBorders>
            <w:shd w:val="clear" w:color="000000" w:fill="FFFFFF"/>
            <w:noWrap/>
            <w:vAlign w:val="bottom"/>
            <w:hideMark/>
          </w:tcPr>
          <w:p w14:paraId="3DB1E277"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854" w:type="dxa"/>
            <w:tcBorders>
              <w:top w:val="nil"/>
              <w:left w:val="nil"/>
              <w:bottom w:val="nil"/>
              <w:right w:val="nil"/>
            </w:tcBorders>
            <w:shd w:val="clear" w:color="000000" w:fill="FFFFFF"/>
            <w:noWrap/>
            <w:vAlign w:val="bottom"/>
            <w:hideMark/>
          </w:tcPr>
          <w:p w14:paraId="6C49D535"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673" w:type="dxa"/>
            <w:tcBorders>
              <w:top w:val="nil"/>
              <w:left w:val="nil"/>
              <w:bottom w:val="nil"/>
              <w:right w:val="nil"/>
            </w:tcBorders>
            <w:shd w:val="clear" w:color="000000" w:fill="FFFFFF"/>
            <w:noWrap/>
            <w:vAlign w:val="bottom"/>
            <w:hideMark/>
          </w:tcPr>
          <w:p w14:paraId="67853442"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991" w:type="dxa"/>
            <w:tcBorders>
              <w:top w:val="nil"/>
              <w:left w:val="single" w:sz="4" w:space="0" w:color="auto"/>
              <w:bottom w:val="nil"/>
              <w:right w:val="single" w:sz="4" w:space="0" w:color="auto"/>
            </w:tcBorders>
            <w:shd w:val="clear" w:color="000000" w:fill="FFFFFF"/>
            <w:noWrap/>
            <w:vAlign w:val="bottom"/>
            <w:hideMark/>
          </w:tcPr>
          <w:p w14:paraId="7C32B84A" w14:textId="77777777" w:rsidR="004C78C0" w:rsidRPr="008D777B" w:rsidRDefault="004C78C0" w:rsidP="00654255">
            <w:pPr>
              <w:jc w:val="center"/>
              <w:rPr>
                <w:rFonts w:cstheme="minorHAnsi"/>
                <w:color w:val="000000"/>
                <w:sz w:val="16"/>
                <w:szCs w:val="16"/>
              </w:rPr>
            </w:pPr>
            <w:r w:rsidRPr="008D777B">
              <w:rPr>
                <w:color w:val="000000"/>
                <w:sz w:val="16"/>
              </w:rPr>
              <w:t>couverture</w:t>
            </w:r>
          </w:p>
        </w:tc>
      </w:tr>
      <w:tr w:rsidR="004C78C0" w:rsidRPr="008D777B" w14:paraId="54EBC4E4" w14:textId="77777777" w:rsidTr="00654255">
        <w:tc>
          <w:tcPr>
            <w:tcW w:w="1304" w:type="dxa"/>
            <w:tcBorders>
              <w:top w:val="nil"/>
              <w:left w:val="single" w:sz="4" w:space="0" w:color="auto"/>
              <w:bottom w:val="nil"/>
              <w:right w:val="nil"/>
            </w:tcBorders>
            <w:shd w:val="clear" w:color="000000" w:fill="FFFFFF"/>
            <w:noWrap/>
            <w:vAlign w:val="bottom"/>
            <w:hideMark/>
          </w:tcPr>
          <w:p w14:paraId="457FFE52" w14:textId="77777777" w:rsidR="004C78C0" w:rsidRPr="008D777B" w:rsidRDefault="004C78C0" w:rsidP="00654255">
            <w:pPr>
              <w:rPr>
                <w:rFonts w:cstheme="minorHAnsi"/>
                <w:color w:val="000000"/>
                <w:sz w:val="16"/>
                <w:szCs w:val="16"/>
              </w:rPr>
            </w:pPr>
            <w:r w:rsidRPr="008D777B">
              <w:rPr>
                <w:color w:val="000000"/>
                <w:sz w:val="16"/>
              </w:rPr>
              <w:t> </w:t>
            </w:r>
          </w:p>
        </w:tc>
        <w:tc>
          <w:tcPr>
            <w:tcW w:w="905" w:type="dxa"/>
            <w:tcBorders>
              <w:top w:val="nil"/>
              <w:left w:val="single" w:sz="4" w:space="0" w:color="auto"/>
              <w:bottom w:val="nil"/>
              <w:right w:val="nil"/>
            </w:tcBorders>
            <w:shd w:val="clear" w:color="000000" w:fill="FFFFFF"/>
            <w:noWrap/>
            <w:vAlign w:val="bottom"/>
            <w:hideMark/>
          </w:tcPr>
          <w:p w14:paraId="5A4C6941"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990" w:type="dxa"/>
            <w:tcBorders>
              <w:top w:val="nil"/>
              <w:left w:val="nil"/>
              <w:bottom w:val="nil"/>
              <w:right w:val="nil"/>
            </w:tcBorders>
            <w:shd w:val="clear" w:color="000000" w:fill="FFFFFF"/>
            <w:noWrap/>
            <w:vAlign w:val="bottom"/>
            <w:hideMark/>
          </w:tcPr>
          <w:p w14:paraId="406EB7CF" w14:textId="77777777" w:rsidR="004C78C0" w:rsidRPr="008D777B" w:rsidRDefault="004C78C0" w:rsidP="00654255">
            <w:pPr>
              <w:jc w:val="center"/>
              <w:rPr>
                <w:rFonts w:cstheme="minorHAnsi"/>
                <w:color w:val="000000"/>
                <w:sz w:val="16"/>
                <w:szCs w:val="16"/>
              </w:rPr>
            </w:pPr>
            <w:r w:rsidRPr="008D777B">
              <w:rPr>
                <w:color w:val="000000"/>
                <w:sz w:val="16"/>
              </w:rPr>
              <w:t>6 m 2021</w:t>
            </w:r>
          </w:p>
        </w:tc>
        <w:tc>
          <w:tcPr>
            <w:tcW w:w="990" w:type="dxa"/>
            <w:tcBorders>
              <w:top w:val="nil"/>
              <w:left w:val="nil"/>
              <w:bottom w:val="nil"/>
              <w:right w:val="nil"/>
            </w:tcBorders>
            <w:shd w:val="clear" w:color="000000" w:fill="FFFFFF"/>
            <w:noWrap/>
            <w:vAlign w:val="bottom"/>
            <w:hideMark/>
          </w:tcPr>
          <w:p w14:paraId="728E47D4"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673" w:type="dxa"/>
            <w:tcBorders>
              <w:top w:val="nil"/>
              <w:left w:val="nil"/>
              <w:bottom w:val="nil"/>
              <w:right w:val="single" w:sz="4" w:space="0" w:color="auto"/>
            </w:tcBorders>
            <w:shd w:val="clear" w:color="000000" w:fill="FFFFFF"/>
            <w:noWrap/>
            <w:vAlign w:val="bottom"/>
            <w:hideMark/>
          </w:tcPr>
          <w:p w14:paraId="576682BB" w14:textId="77777777" w:rsidR="004C78C0" w:rsidRPr="008D777B" w:rsidRDefault="004C78C0" w:rsidP="00654255">
            <w:pPr>
              <w:jc w:val="center"/>
              <w:rPr>
                <w:rFonts w:cstheme="minorHAnsi"/>
                <w:color w:val="000000"/>
                <w:sz w:val="16"/>
                <w:szCs w:val="16"/>
              </w:rPr>
            </w:pPr>
            <w:r w:rsidRPr="008D777B">
              <w:rPr>
                <w:color w:val="000000"/>
                <w:sz w:val="16"/>
              </w:rPr>
              <w:t>6 m</w:t>
            </w:r>
          </w:p>
        </w:tc>
        <w:tc>
          <w:tcPr>
            <w:tcW w:w="829" w:type="dxa"/>
            <w:tcBorders>
              <w:top w:val="nil"/>
              <w:left w:val="nil"/>
              <w:bottom w:val="nil"/>
              <w:right w:val="nil"/>
            </w:tcBorders>
            <w:shd w:val="clear" w:color="000000" w:fill="FFFFFF"/>
            <w:noWrap/>
            <w:vAlign w:val="bottom"/>
            <w:hideMark/>
          </w:tcPr>
          <w:p w14:paraId="12B21D5F"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854" w:type="dxa"/>
            <w:tcBorders>
              <w:top w:val="nil"/>
              <w:left w:val="nil"/>
              <w:bottom w:val="nil"/>
              <w:right w:val="nil"/>
            </w:tcBorders>
            <w:shd w:val="clear" w:color="000000" w:fill="FFFFFF"/>
            <w:noWrap/>
            <w:vAlign w:val="bottom"/>
            <w:hideMark/>
          </w:tcPr>
          <w:p w14:paraId="561D8C65" w14:textId="77777777" w:rsidR="004C78C0" w:rsidRPr="008D777B" w:rsidRDefault="004C78C0" w:rsidP="00654255">
            <w:pPr>
              <w:jc w:val="center"/>
              <w:rPr>
                <w:rFonts w:cstheme="minorHAnsi"/>
                <w:color w:val="000000"/>
                <w:sz w:val="16"/>
                <w:szCs w:val="16"/>
              </w:rPr>
            </w:pPr>
            <w:r w:rsidRPr="008D777B">
              <w:rPr>
                <w:color w:val="000000"/>
                <w:sz w:val="16"/>
              </w:rPr>
              <w:t>6 m 2021</w:t>
            </w:r>
          </w:p>
        </w:tc>
        <w:tc>
          <w:tcPr>
            <w:tcW w:w="854" w:type="dxa"/>
            <w:tcBorders>
              <w:top w:val="nil"/>
              <w:left w:val="nil"/>
              <w:bottom w:val="nil"/>
              <w:right w:val="nil"/>
            </w:tcBorders>
            <w:shd w:val="clear" w:color="000000" w:fill="FFFFFF"/>
            <w:noWrap/>
            <w:vAlign w:val="bottom"/>
            <w:hideMark/>
          </w:tcPr>
          <w:p w14:paraId="469FD216"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673" w:type="dxa"/>
            <w:tcBorders>
              <w:top w:val="nil"/>
              <w:left w:val="nil"/>
              <w:bottom w:val="nil"/>
              <w:right w:val="single" w:sz="4" w:space="0" w:color="auto"/>
            </w:tcBorders>
            <w:shd w:val="clear" w:color="000000" w:fill="FFFFFF"/>
            <w:noWrap/>
            <w:vAlign w:val="bottom"/>
            <w:hideMark/>
          </w:tcPr>
          <w:p w14:paraId="7C4B7632" w14:textId="77777777" w:rsidR="004C78C0" w:rsidRPr="008D777B" w:rsidRDefault="004C78C0" w:rsidP="00654255">
            <w:pPr>
              <w:jc w:val="center"/>
              <w:rPr>
                <w:rFonts w:cstheme="minorHAnsi"/>
                <w:color w:val="000000"/>
                <w:sz w:val="16"/>
                <w:szCs w:val="16"/>
              </w:rPr>
            </w:pPr>
            <w:r w:rsidRPr="008D777B">
              <w:rPr>
                <w:color w:val="000000"/>
                <w:sz w:val="16"/>
              </w:rPr>
              <w:t>6 m</w:t>
            </w:r>
          </w:p>
        </w:tc>
        <w:tc>
          <w:tcPr>
            <w:tcW w:w="991" w:type="dxa"/>
            <w:tcBorders>
              <w:top w:val="nil"/>
              <w:left w:val="nil"/>
              <w:bottom w:val="nil"/>
              <w:right w:val="single" w:sz="4" w:space="0" w:color="auto"/>
            </w:tcBorders>
            <w:shd w:val="clear" w:color="000000" w:fill="FFFFFF"/>
            <w:noWrap/>
            <w:vAlign w:val="bottom"/>
            <w:hideMark/>
          </w:tcPr>
          <w:p w14:paraId="7602650E" w14:textId="77777777" w:rsidR="004C78C0" w:rsidRPr="008D777B" w:rsidRDefault="004C78C0" w:rsidP="00654255">
            <w:pPr>
              <w:jc w:val="center"/>
              <w:rPr>
                <w:rFonts w:cstheme="minorHAnsi"/>
                <w:color w:val="000000"/>
                <w:sz w:val="16"/>
                <w:szCs w:val="16"/>
              </w:rPr>
            </w:pPr>
            <w:r w:rsidRPr="008D777B">
              <w:rPr>
                <w:color w:val="000000"/>
                <w:sz w:val="16"/>
              </w:rPr>
              <w:t>6 m 2022</w:t>
            </w:r>
          </w:p>
        </w:tc>
      </w:tr>
      <w:tr w:rsidR="004C78C0" w:rsidRPr="008D777B" w14:paraId="3B213065" w14:textId="77777777" w:rsidTr="00654255">
        <w:tc>
          <w:tcPr>
            <w:tcW w:w="1304" w:type="dxa"/>
            <w:tcBorders>
              <w:top w:val="single" w:sz="4" w:space="0" w:color="FFFFFF"/>
              <w:left w:val="single" w:sz="4" w:space="0" w:color="auto"/>
              <w:bottom w:val="single" w:sz="4" w:space="0" w:color="auto"/>
              <w:right w:val="nil"/>
            </w:tcBorders>
            <w:shd w:val="clear" w:color="000000" w:fill="FFFFFF"/>
            <w:noWrap/>
            <w:vAlign w:val="bottom"/>
            <w:hideMark/>
          </w:tcPr>
          <w:p w14:paraId="73ED53F0" w14:textId="77777777" w:rsidR="004C78C0" w:rsidRPr="008D777B" w:rsidRDefault="004C78C0" w:rsidP="00654255">
            <w:pPr>
              <w:rPr>
                <w:rFonts w:cstheme="minorHAnsi"/>
                <w:b/>
                <w:bCs/>
                <w:color w:val="000000"/>
                <w:sz w:val="16"/>
                <w:szCs w:val="16"/>
              </w:rPr>
            </w:pPr>
            <w:r w:rsidRPr="008D777B">
              <w:rPr>
                <w:b/>
                <w:color w:val="000000"/>
                <w:sz w:val="16"/>
              </w:rPr>
              <w:t>Pays</w:t>
            </w:r>
          </w:p>
        </w:tc>
        <w:tc>
          <w:tcPr>
            <w:tcW w:w="905" w:type="dxa"/>
            <w:tcBorders>
              <w:top w:val="single" w:sz="4" w:space="0" w:color="FFFFFF"/>
              <w:left w:val="single" w:sz="4" w:space="0" w:color="auto"/>
              <w:bottom w:val="single" w:sz="4" w:space="0" w:color="auto"/>
              <w:right w:val="single" w:sz="4" w:space="0" w:color="FFFFFF"/>
            </w:tcBorders>
            <w:shd w:val="clear" w:color="000000" w:fill="FFFFFF"/>
            <w:noWrap/>
            <w:vAlign w:val="bottom"/>
            <w:hideMark/>
          </w:tcPr>
          <w:p w14:paraId="72BA1AB7" w14:textId="77777777" w:rsidR="004C78C0" w:rsidRPr="008D777B" w:rsidRDefault="004C78C0" w:rsidP="00654255">
            <w:pPr>
              <w:jc w:val="center"/>
              <w:rPr>
                <w:rFonts w:cstheme="minorHAnsi"/>
                <w:color w:val="000000"/>
                <w:sz w:val="16"/>
                <w:szCs w:val="16"/>
              </w:rPr>
            </w:pPr>
            <w:r w:rsidRPr="008D777B">
              <w:rPr>
                <w:color w:val="000000"/>
                <w:sz w:val="16"/>
              </w:rPr>
              <w:t>en %</w:t>
            </w:r>
          </w:p>
        </w:tc>
        <w:tc>
          <w:tcPr>
            <w:tcW w:w="990" w:type="dxa"/>
            <w:tcBorders>
              <w:top w:val="single" w:sz="4" w:space="0" w:color="FFFFFF"/>
              <w:left w:val="nil"/>
              <w:bottom w:val="single" w:sz="4" w:space="0" w:color="auto"/>
              <w:right w:val="single" w:sz="4" w:space="0" w:color="FFFFFF"/>
            </w:tcBorders>
            <w:shd w:val="clear" w:color="000000" w:fill="FFFFFF"/>
            <w:noWrap/>
            <w:vAlign w:val="bottom"/>
            <w:hideMark/>
          </w:tcPr>
          <w:p w14:paraId="689FDA7C"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990" w:type="dxa"/>
            <w:tcBorders>
              <w:top w:val="single" w:sz="4" w:space="0" w:color="FFFFFF"/>
              <w:left w:val="nil"/>
              <w:bottom w:val="single" w:sz="4" w:space="0" w:color="auto"/>
              <w:right w:val="single" w:sz="4" w:space="0" w:color="FFFFFF"/>
            </w:tcBorders>
            <w:shd w:val="clear" w:color="000000" w:fill="FFFFFF"/>
            <w:noWrap/>
            <w:vAlign w:val="bottom"/>
            <w:hideMark/>
          </w:tcPr>
          <w:p w14:paraId="578DB890"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673" w:type="dxa"/>
            <w:tcBorders>
              <w:top w:val="nil"/>
              <w:left w:val="nil"/>
              <w:bottom w:val="single" w:sz="4" w:space="0" w:color="auto"/>
              <w:right w:val="single" w:sz="4" w:space="0" w:color="auto"/>
            </w:tcBorders>
            <w:shd w:val="clear" w:color="000000" w:fill="FFFFFF"/>
            <w:noWrap/>
            <w:vAlign w:val="bottom"/>
            <w:hideMark/>
          </w:tcPr>
          <w:p w14:paraId="72EE4D44" w14:textId="77777777" w:rsidR="004C78C0" w:rsidRPr="008D777B" w:rsidRDefault="004C78C0" w:rsidP="00654255">
            <w:pPr>
              <w:jc w:val="center"/>
              <w:rPr>
                <w:rFonts w:cstheme="minorHAnsi"/>
                <w:color w:val="000000"/>
                <w:sz w:val="16"/>
                <w:szCs w:val="16"/>
              </w:rPr>
            </w:pPr>
            <w:r w:rsidRPr="008D777B">
              <w:rPr>
                <w:color w:val="000000"/>
                <w:sz w:val="16"/>
              </w:rPr>
              <w:t>22/21</w:t>
            </w:r>
          </w:p>
        </w:tc>
        <w:tc>
          <w:tcPr>
            <w:tcW w:w="829" w:type="dxa"/>
            <w:tcBorders>
              <w:top w:val="single" w:sz="4" w:space="0" w:color="FFFFFF"/>
              <w:left w:val="nil"/>
              <w:bottom w:val="single" w:sz="4" w:space="0" w:color="auto"/>
              <w:right w:val="single" w:sz="4" w:space="0" w:color="FFFFFF"/>
            </w:tcBorders>
            <w:shd w:val="clear" w:color="000000" w:fill="FFFFFF"/>
            <w:noWrap/>
            <w:vAlign w:val="bottom"/>
            <w:hideMark/>
          </w:tcPr>
          <w:p w14:paraId="3B172B8E" w14:textId="77777777" w:rsidR="004C78C0" w:rsidRPr="008D777B" w:rsidRDefault="004C78C0" w:rsidP="00654255">
            <w:pPr>
              <w:jc w:val="center"/>
              <w:rPr>
                <w:rFonts w:cstheme="minorHAnsi"/>
                <w:color w:val="000000"/>
                <w:sz w:val="16"/>
                <w:szCs w:val="16"/>
              </w:rPr>
            </w:pPr>
            <w:r w:rsidRPr="008D777B">
              <w:rPr>
                <w:color w:val="000000"/>
                <w:sz w:val="16"/>
              </w:rPr>
              <w:t>en %</w:t>
            </w:r>
          </w:p>
        </w:tc>
        <w:tc>
          <w:tcPr>
            <w:tcW w:w="854" w:type="dxa"/>
            <w:tcBorders>
              <w:top w:val="single" w:sz="4" w:space="0" w:color="FFFFFF"/>
              <w:left w:val="nil"/>
              <w:bottom w:val="single" w:sz="4" w:space="0" w:color="auto"/>
              <w:right w:val="single" w:sz="4" w:space="0" w:color="FFFFFF"/>
            </w:tcBorders>
            <w:shd w:val="clear" w:color="000000" w:fill="FFFFFF"/>
            <w:noWrap/>
            <w:vAlign w:val="bottom"/>
            <w:hideMark/>
          </w:tcPr>
          <w:p w14:paraId="02EEB830"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854" w:type="dxa"/>
            <w:tcBorders>
              <w:top w:val="single" w:sz="4" w:space="0" w:color="FFFFFF"/>
              <w:left w:val="nil"/>
              <w:bottom w:val="single" w:sz="4" w:space="0" w:color="auto"/>
              <w:right w:val="single" w:sz="4" w:space="0" w:color="FFFFFF"/>
            </w:tcBorders>
            <w:shd w:val="clear" w:color="000000" w:fill="FFFFFF"/>
            <w:noWrap/>
            <w:vAlign w:val="bottom"/>
            <w:hideMark/>
          </w:tcPr>
          <w:p w14:paraId="1B1CB57F"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673" w:type="dxa"/>
            <w:tcBorders>
              <w:top w:val="nil"/>
              <w:left w:val="nil"/>
              <w:bottom w:val="single" w:sz="4" w:space="0" w:color="auto"/>
              <w:right w:val="single" w:sz="4" w:space="0" w:color="auto"/>
            </w:tcBorders>
            <w:shd w:val="clear" w:color="000000" w:fill="FFFFFF"/>
            <w:noWrap/>
            <w:vAlign w:val="bottom"/>
            <w:hideMark/>
          </w:tcPr>
          <w:p w14:paraId="376B9B7C" w14:textId="77777777" w:rsidR="004C78C0" w:rsidRPr="008D777B" w:rsidRDefault="004C78C0" w:rsidP="00654255">
            <w:pPr>
              <w:jc w:val="center"/>
              <w:rPr>
                <w:rFonts w:cstheme="minorHAnsi"/>
                <w:color w:val="000000"/>
                <w:sz w:val="16"/>
                <w:szCs w:val="16"/>
              </w:rPr>
            </w:pPr>
            <w:r w:rsidRPr="008D777B">
              <w:rPr>
                <w:color w:val="000000"/>
                <w:sz w:val="16"/>
              </w:rPr>
              <w:t>22/21</w:t>
            </w:r>
          </w:p>
        </w:tc>
        <w:tc>
          <w:tcPr>
            <w:tcW w:w="991" w:type="dxa"/>
            <w:tcBorders>
              <w:top w:val="single" w:sz="4" w:space="0" w:color="FFFFFF"/>
              <w:left w:val="nil"/>
              <w:bottom w:val="single" w:sz="4" w:space="0" w:color="auto"/>
              <w:right w:val="single" w:sz="4" w:space="0" w:color="auto"/>
            </w:tcBorders>
            <w:shd w:val="clear" w:color="000000" w:fill="FFFFFF"/>
            <w:noWrap/>
            <w:vAlign w:val="bottom"/>
            <w:hideMark/>
          </w:tcPr>
          <w:p w14:paraId="3638C66E" w14:textId="77777777" w:rsidR="004C78C0" w:rsidRPr="008D777B" w:rsidRDefault="004C78C0" w:rsidP="00654255">
            <w:pPr>
              <w:jc w:val="center"/>
              <w:rPr>
                <w:rFonts w:cstheme="minorHAnsi"/>
                <w:color w:val="000000"/>
                <w:sz w:val="16"/>
                <w:szCs w:val="16"/>
              </w:rPr>
            </w:pPr>
            <w:r w:rsidRPr="008D777B">
              <w:rPr>
                <w:color w:val="000000"/>
                <w:sz w:val="16"/>
              </w:rPr>
              <w:t>(</w:t>
            </w:r>
            <w:proofErr w:type="spellStart"/>
            <w:r w:rsidRPr="008D777B">
              <w:rPr>
                <w:color w:val="000000"/>
                <w:sz w:val="16"/>
              </w:rPr>
              <w:t>Exp</w:t>
            </w:r>
            <w:proofErr w:type="spellEnd"/>
            <w:r w:rsidRPr="008D777B">
              <w:rPr>
                <w:color w:val="000000"/>
                <w:sz w:val="16"/>
              </w:rPr>
              <w:t>/</w:t>
            </w:r>
            <w:proofErr w:type="spellStart"/>
            <w:r w:rsidRPr="008D777B">
              <w:rPr>
                <w:color w:val="000000"/>
                <w:sz w:val="16"/>
              </w:rPr>
              <w:t>imp</w:t>
            </w:r>
            <w:proofErr w:type="spellEnd"/>
            <w:r w:rsidRPr="008D777B">
              <w:rPr>
                <w:color w:val="000000"/>
                <w:sz w:val="16"/>
              </w:rPr>
              <w:t>)</w:t>
            </w:r>
          </w:p>
        </w:tc>
      </w:tr>
      <w:tr w:rsidR="004C78C0" w:rsidRPr="008D777B" w14:paraId="57E23891" w14:textId="77777777" w:rsidTr="00654255">
        <w:tc>
          <w:tcPr>
            <w:tcW w:w="1304" w:type="dxa"/>
            <w:tcBorders>
              <w:top w:val="single" w:sz="4" w:space="0" w:color="FFFFFF"/>
              <w:left w:val="single" w:sz="4" w:space="0" w:color="auto"/>
              <w:bottom w:val="single" w:sz="4" w:space="0" w:color="FFFFFF"/>
              <w:right w:val="nil"/>
            </w:tcBorders>
            <w:shd w:val="clear" w:color="auto" w:fill="auto"/>
            <w:vAlign w:val="bottom"/>
            <w:hideMark/>
          </w:tcPr>
          <w:p w14:paraId="034A62A5" w14:textId="77777777" w:rsidR="004C78C0" w:rsidRPr="008D777B" w:rsidRDefault="004C78C0" w:rsidP="00654255">
            <w:pPr>
              <w:rPr>
                <w:rFonts w:cstheme="minorHAnsi"/>
                <w:color w:val="000000"/>
                <w:sz w:val="16"/>
                <w:szCs w:val="16"/>
              </w:rPr>
            </w:pPr>
            <w:r w:rsidRPr="008D777B">
              <w:rPr>
                <w:color w:val="000000"/>
                <w:sz w:val="16"/>
              </w:rPr>
              <w:t>France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7B70026" w14:textId="77777777" w:rsidR="004C78C0" w:rsidRPr="008D777B" w:rsidRDefault="004C78C0" w:rsidP="00654255">
            <w:pPr>
              <w:jc w:val="right"/>
              <w:rPr>
                <w:rFonts w:cstheme="minorHAnsi"/>
                <w:color w:val="000000"/>
                <w:sz w:val="16"/>
                <w:szCs w:val="16"/>
              </w:rPr>
            </w:pPr>
            <w:r w:rsidRPr="008D777B">
              <w:rPr>
                <w:color w:val="000000"/>
                <w:sz w:val="16"/>
              </w:rPr>
              <w:t>5,6</w:t>
            </w:r>
          </w:p>
        </w:tc>
        <w:tc>
          <w:tcPr>
            <w:tcW w:w="990" w:type="dxa"/>
            <w:tcBorders>
              <w:top w:val="single" w:sz="4" w:space="0" w:color="FFFFFF"/>
              <w:left w:val="nil"/>
              <w:bottom w:val="single" w:sz="4" w:space="0" w:color="FFFFFF"/>
              <w:right w:val="single" w:sz="4" w:space="0" w:color="FFFFFF"/>
            </w:tcBorders>
            <w:shd w:val="clear" w:color="auto" w:fill="auto"/>
            <w:vAlign w:val="bottom"/>
            <w:hideMark/>
          </w:tcPr>
          <w:p w14:paraId="228D9218" w14:textId="77777777" w:rsidR="004C78C0" w:rsidRPr="008D777B" w:rsidRDefault="004C78C0" w:rsidP="00654255">
            <w:pPr>
              <w:jc w:val="right"/>
              <w:rPr>
                <w:rFonts w:cstheme="minorHAnsi"/>
                <w:color w:val="000000"/>
                <w:sz w:val="16"/>
                <w:szCs w:val="16"/>
              </w:rPr>
            </w:pPr>
            <w:r w:rsidRPr="008D777B">
              <w:rPr>
                <w:color w:val="000000"/>
                <w:sz w:val="16"/>
              </w:rPr>
              <w:t>88.933,3</w:t>
            </w:r>
          </w:p>
        </w:tc>
        <w:tc>
          <w:tcPr>
            <w:tcW w:w="990" w:type="dxa"/>
            <w:tcBorders>
              <w:top w:val="single" w:sz="4" w:space="0" w:color="FFFFFF"/>
              <w:left w:val="nil"/>
              <w:bottom w:val="single" w:sz="4" w:space="0" w:color="FFFFFF"/>
              <w:right w:val="single" w:sz="4" w:space="0" w:color="FFFFFF"/>
            </w:tcBorders>
            <w:shd w:val="clear" w:color="auto" w:fill="auto"/>
            <w:vAlign w:val="bottom"/>
            <w:hideMark/>
          </w:tcPr>
          <w:p w14:paraId="2C2A567F" w14:textId="77777777" w:rsidR="004C78C0" w:rsidRPr="008D777B" w:rsidRDefault="004C78C0" w:rsidP="00654255">
            <w:pPr>
              <w:jc w:val="right"/>
              <w:rPr>
                <w:rFonts w:cstheme="minorHAnsi"/>
                <w:color w:val="000000"/>
                <w:sz w:val="16"/>
                <w:szCs w:val="16"/>
              </w:rPr>
            </w:pPr>
            <w:r w:rsidRPr="008D777B">
              <w:rPr>
                <w:color w:val="000000"/>
                <w:sz w:val="16"/>
              </w:rPr>
              <w:t>81.681,4</w:t>
            </w:r>
          </w:p>
        </w:tc>
        <w:tc>
          <w:tcPr>
            <w:tcW w:w="673" w:type="dxa"/>
            <w:tcBorders>
              <w:top w:val="nil"/>
              <w:left w:val="nil"/>
              <w:bottom w:val="single" w:sz="4" w:space="0" w:color="FFFFFF"/>
              <w:right w:val="single" w:sz="4" w:space="0" w:color="auto"/>
            </w:tcBorders>
            <w:shd w:val="clear" w:color="auto" w:fill="auto"/>
            <w:noWrap/>
            <w:vAlign w:val="bottom"/>
            <w:hideMark/>
          </w:tcPr>
          <w:p w14:paraId="6F450D51" w14:textId="77777777" w:rsidR="004C78C0" w:rsidRPr="008D777B" w:rsidRDefault="004C78C0" w:rsidP="00654255">
            <w:pPr>
              <w:jc w:val="right"/>
              <w:rPr>
                <w:rFonts w:cstheme="minorHAnsi"/>
                <w:color w:val="000000"/>
                <w:sz w:val="16"/>
                <w:szCs w:val="16"/>
              </w:rPr>
            </w:pPr>
            <w:r w:rsidRPr="008D777B">
              <w:rPr>
                <w:color w:val="000000"/>
                <w:sz w:val="16"/>
              </w:rPr>
              <w:t>-8,2</w:t>
            </w:r>
          </w:p>
        </w:tc>
        <w:tc>
          <w:tcPr>
            <w:tcW w:w="829" w:type="dxa"/>
            <w:tcBorders>
              <w:top w:val="nil"/>
              <w:left w:val="nil"/>
              <w:bottom w:val="single" w:sz="4" w:space="0" w:color="FFFFFF"/>
              <w:right w:val="single" w:sz="4" w:space="0" w:color="FFFFFF"/>
            </w:tcBorders>
            <w:shd w:val="clear" w:color="auto" w:fill="auto"/>
            <w:noWrap/>
            <w:vAlign w:val="bottom"/>
            <w:hideMark/>
          </w:tcPr>
          <w:p w14:paraId="471CCBB2" w14:textId="77777777" w:rsidR="004C78C0" w:rsidRPr="008D777B" w:rsidRDefault="004C78C0" w:rsidP="00654255">
            <w:pPr>
              <w:jc w:val="right"/>
              <w:rPr>
                <w:rFonts w:cstheme="minorHAnsi"/>
                <w:color w:val="000000"/>
                <w:sz w:val="16"/>
                <w:szCs w:val="16"/>
              </w:rPr>
            </w:pPr>
            <w:r w:rsidRPr="008D777B">
              <w:rPr>
                <w:color w:val="000000"/>
                <w:sz w:val="16"/>
              </w:rPr>
              <w:t>40,4</w:t>
            </w:r>
          </w:p>
        </w:tc>
        <w:tc>
          <w:tcPr>
            <w:tcW w:w="854" w:type="dxa"/>
            <w:tcBorders>
              <w:top w:val="single" w:sz="4" w:space="0" w:color="FFFFFF"/>
              <w:left w:val="nil"/>
              <w:bottom w:val="single" w:sz="4" w:space="0" w:color="FFFFFF"/>
              <w:right w:val="single" w:sz="4" w:space="0" w:color="FFFFFF"/>
            </w:tcBorders>
            <w:shd w:val="clear" w:color="auto" w:fill="auto"/>
            <w:noWrap/>
            <w:vAlign w:val="bottom"/>
            <w:hideMark/>
          </w:tcPr>
          <w:p w14:paraId="36BF3B77" w14:textId="77777777" w:rsidR="004C78C0" w:rsidRPr="008D777B" w:rsidRDefault="004C78C0" w:rsidP="00654255">
            <w:pPr>
              <w:jc w:val="right"/>
              <w:rPr>
                <w:rFonts w:cstheme="minorHAnsi"/>
                <w:color w:val="000000"/>
                <w:sz w:val="16"/>
                <w:szCs w:val="16"/>
              </w:rPr>
            </w:pPr>
            <w:r w:rsidRPr="008D777B">
              <w:rPr>
                <w:color w:val="000000"/>
                <w:sz w:val="16"/>
              </w:rPr>
              <w:t>323.601,3</w:t>
            </w:r>
          </w:p>
        </w:tc>
        <w:tc>
          <w:tcPr>
            <w:tcW w:w="854" w:type="dxa"/>
            <w:tcBorders>
              <w:top w:val="single" w:sz="4" w:space="0" w:color="FFFFFF"/>
              <w:left w:val="nil"/>
              <w:bottom w:val="single" w:sz="4" w:space="0" w:color="FFFFFF"/>
              <w:right w:val="single" w:sz="4" w:space="0" w:color="FFFFFF"/>
            </w:tcBorders>
            <w:shd w:val="clear" w:color="auto" w:fill="auto"/>
            <w:noWrap/>
            <w:vAlign w:val="bottom"/>
            <w:hideMark/>
          </w:tcPr>
          <w:p w14:paraId="615908DD" w14:textId="77777777" w:rsidR="004C78C0" w:rsidRPr="008D777B" w:rsidRDefault="004C78C0" w:rsidP="00654255">
            <w:pPr>
              <w:jc w:val="right"/>
              <w:rPr>
                <w:rFonts w:cstheme="minorHAnsi"/>
                <w:color w:val="000000"/>
                <w:sz w:val="16"/>
                <w:szCs w:val="16"/>
              </w:rPr>
            </w:pPr>
            <w:r w:rsidRPr="008D777B">
              <w:rPr>
                <w:color w:val="000000"/>
                <w:sz w:val="16"/>
              </w:rPr>
              <w:t>350.998,0</w:t>
            </w:r>
          </w:p>
        </w:tc>
        <w:tc>
          <w:tcPr>
            <w:tcW w:w="673" w:type="dxa"/>
            <w:tcBorders>
              <w:top w:val="nil"/>
              <w:left w:val="nil"/>
              <w:bottom w:val="single" w:sz="4" w:space="0" w:color="FFFFFF"/>
              <w:right w:val="nil"/>
            </w:tcBorders>
            <w:shd w:val="clear" w:color="auto" w:fill="auto"/>
            <w:noWrap/>
            <w:vAlign w:val="bottom"/>
            <w:hideMark/>
          </w:tcPr>
          <w:p w14:paraId="2FB5EED0" w14:textId="77777777" w:rsidR="004C78C0" w:rsidRPr="008D777B" w:rsidRDefault="004C78C0" w:rsidP="00654255">
            <w:pPr>
              <w:jc w:val="right"/>
              <w:rPr>
                <w:rFonts w:cstheme="minorHAnsi"/>
                <w:color w:val="000000"/>
                <w:sz w:val="16"/>
                <w:szCs w:val="16"/>
              </w:rPr>
            </w:pPr>
            <w:r w:rsidRPr="008D777B">
              <w:rPr>
                <w:color w:val="000000"/>
                <w:sz w:val="16"/>
              </w:rPr>
              <w:t>8,5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719763F2" w14:textId="77777777" w:rsidR="004C78C0" w:rsidRPr="008D777B" w:rsidRDefault="004C78C0" w:rsidP="00654255">
            <w:pPr>
              <w:jc w:val="right"/>
              <w:rPr>
                <w:rFonts w:cstheme="minorHAnsi"/>
                <w:color w:val="000000"/>
                <w:sz w:val="16"/>
                <w:szCs w:val="16"/>
              </w:rPr>
            </w:pPr>
            <w:r w:rsidRPr="008D777B">
              <w:rPr>
                <w:color w:val="000000"/>
                <w:sz w:val="16"/>
              </w:rPr>
              <w:t>429,7</w:t>
            </w:r>
          </w:p>
        </w:tc>
      </w:tr>
      <w:tr w:rsidR="004C78C0" w:rsidRPr="008D777B" w14:paraId="30AA453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CA1040B" w14:textId="77777777" w:rsidR="004C78C0" w:rsidRPr="008D777B" w:rsidRDefault="004C78C0" w:rsidP="00654255">
            <w:pPr>
              <w:rPr>
                <w:rFonts w:cstheme="minorHAnsi"/>
                <w:color w:val="000000"/>
                <w:sz w:val="16"/>
                <w:szCs w:val="16"/>
              </w:rPr>
            </w:pPr>
            <w:r w:rsidRPr="008D777B">
              <w:rPr>
                <w:color w:val="000000"/>
                <w:sz w:val="16"/>
              </w:rPr>
              <w:t>Pays-Bas</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824ED04" w14:textId="77777777" w:rsidR="004C78C0" w:rsidRPr="008D777B" w:rsidRDefault="004C78C0" w:rsidP="00654255">
            <w:pPr>
              <w:jc w:val="right"/>
              <w:rPr>
                <w:rFonts w:cstheme="minorHAnsi"/>
                <w:color w:val="000000"/>
                <w:sz w:val="16"/>
                <w:szCs w:val="16"/>
              </w:rPr>
            </w:pPr>
            <w:r w:rsidRPr="008D777B">
              <w:rPr>
                <w:color w:val="000000"/>
                <w:sz w:val="16"/>
              </w:rPr>
              <w:t>13,5</w:t>
            </w:r>
          </w:p>
        </w:tc>
        <w:tc>
          <w:tcPr>
            <w:tcW w:w="990" w:type="dxa"/>
            <w:tcBorders>
              <w:top w:val="nil"/>
              <w:left w:val="nil"/>
              <w:bottom w:val="single" w:sz="4" w:space="0" w:color="FFFFFF"/>
              <w:right w:val="single" w:sz="4" w:space="0" w:color="FFFFFF"/>
            </w:tcBorders>
            <w:shd w:val="clear" w:color="auto" w:fill="auto"/>
            <w:vAlign w:val="bottom"/>
            <w:hideMark/>
          </w:tcPr>
          <w:p w14:paraId="6BA5962E" w14:textId="77777777" w:rsidR="004C78C0" w:rsidRPr="008D777B" w:rsidRDefault="004C78C0" w:rsidP="00654255">
            <w:pPr>
              <w:jc w:val="right"/>
              <w:rPr>
                <w:rFonts w:cstheme="minorHAnsi"/>
                <w:color w:val="000000"/>
                <w:sz w:val="16"/>
                <w:szCs w:val="16"/>
              </w:rPr>
            </w:pPr>
            <w:r w:rsidRPr="008D777B">
              <w:rPr>
                <w:color w:val="000000"/>
                <w:sz w:val="16"/>
              </w:rPr>
              <w:t>224.454,6</w:t>
            </w:r>
          </w:p>
        </w:tc>
        <w:tc>
          <w:tcPr>
            <w:tcW w:w="990" w:type="dxa"/>
            <w:tcBorders>
              <w:top w:val="nil"/>
              <w:left w:val="nil"/>
              <w:bottom w:val="single" w:sz="4" w:space="0" w:color="FFFFFF"/>
              <w:right w:val="single" w:sz="4" w:space="0" w:color="FFFFFF"/>
            </w:tcBorders>
            <w:shd w:val="clear" w:color="auto" w:fill="auto"/>
            <w:vAlign w:val="bottom"/>
            <w:hideMark/>
          </w:tcPr>
          <w:p w14:paraId="4A7F59D9" w14:textId="77777777" w:rsidR="004C78C0" w:rsidRPr="008D777B" w:rsidRDefault="004C78C0" w:rsidP="00654255">
            <w:pPr>
              <w:jc w:val="right"/>
              <w:rPr>
                <w:rFonts w:cstheme="minorHAnsi"/>
                <w:color w:val="000000"/>
                <w:sz w:val="16"/>
                <w:szCs w:val="16"/>
              </w:rPr>
            </w:pPr>
            <w:r w:rsidRPr="008D777B">
              <w:rPr>
                <w:color w:val="000000"/>
                <w:sz w:val="16"/>
              </w:rPr>
              <w:t>198.876,2</w:t>
            </w:r>
          </w:p>
        </w:tc>
        <w:tc>
          <w:tcPr>
            <w:tcW w:w="673" w:type="dxa"/>
            <w:tcBorders>
              <w:top w:val="nil"/>
              <w:left w:val="nil"/>
              <w:bottom w:val="single" w:sz="4" w:space="0" w:color="FFFFFF"/>
              <w:right w:val="single" w:sz="4" w:space="0" w:color="auto"/>
            </w:tcBorders>
            <w:shd w:val="clear" w:color="auto" w:fill="auto"/>
            <w:noWrap/>
            <w:vAlign w:val="bottom"/>
            <w:hideMark/>
          </w:tcPr>
          <w:p w14:paraId="12A6AC7B" w14:textId="77777777" w:rsidR="004C78C0" w:rsidRPr="008D777B" w:rsidRDefault="004C78C0" w:rsidP="00654255">
            <w:pPr>
              <w:jc w:val="right"/>
              <w:rPr>
                <w:rFonts w:cstheme="minorHAnsi"/>
                <w:color w:val="000000"/>
                <w:sz w:val="16"/>
                <w:szCs w:val="16"/>
              </w:rPr>
            </w:pPr>
            <w:r w:rsidRPr="008D777B">
              <w:rPr>
                <w:color w:val="000000"/>
                <w:sz w:val="16"/>
              </w:rPr>
              <w:t>-11,4</w:t>
            </w:r>
          </w:p>
        </w:tc>
        <w:tc>
          <w:tcPr>
            <w:tcW w:w="829" w:type="dxa"/>
            <w:tcBorders>
              <w:top w:val="nil"/>
              <w:left w:val="nil"/>
              <w:bottom w:val="single" w:sz="4" w:space="0" w:color="FFFFFF"/>
              <w:right w:val="single" w:sz="4" w:space="0" w:color="FFFFFF"/>
            </w:tcBorders>
            <w:shd w:val="clear" w:color="auto" w:fill="auto"/>
            <w:noWrap/>
            <w:vAlign w:val="bottom"/>
            <w:hideMark/>
          </w:tcPr>
          <w:p w14:paraId="1F33AB93" w14:textId="77777777" w:rsidR="004C78C0" w:rsidRPr="008D777B" w:rsidRDefault="004C78C0" w:rsidP="00654255">
            <w:pPr>
              <w:jc w:val="right"/>
              <w:rPr>
                <w:rFonts w:cstheme="minorHAnsi"/>
                <w:color w:val="000000"/>
                <w:sz w:val="16"/>
                <w:szCs w:val="16"/>
              </w:rPr>
            </w:pPr>
            <w:r w:rsidRPr="008D777B">
              <w:rPr>
                <w:color w:val="000000"/>
                <w:sz w:val="16"/>
              </w:rPr>
              <w:t>23,2</w:t>
            </w:r>
          </w:p>
        </w:tc>
        <w:tc>
          <w:tcPr>
            <w:tcW w:w="854" w:type="dxa"/>
            <w:tcBorders>
              <w:top w:val="nil"/>
              <w:left w:val="nil"/>
              <w:bottom w:val="single" w:sz="4" w:space="0" w:color="FFFFFF"/>
              <w:right w:val="single" w:sz="4" w:space="0" w:color="FFFFFF"/>
            </w:tcBorders>
            <w:shd w:val="clear" w:color="auto" w:fill="auto"/>
            <w:noWrap/>
            <w:vAlign w:val="bottom"/>
            <w:hideMark/>
          </w:tcPr>
          <w:p w14:paraId="1C49E56B" w14:textId="77777777" w:rsidR="004C78C0" w:rsidRPr="008D777B" w:rsidRDefault="004C78C0" w:rsidP="00654255">
            <w:pPr>
              <w:jc w:val="right"/>
              <w:rPr>
                <w:rFonts w:cstheme="minorHAnsi"/>
                <w:color w:val="000000"/>
                <w:sz w:val="16"/>
                <w:szCs w:val="16"/>
              </w:rPr>
            </w:pPr>
            <w:r w:rsidRPr="008D777B">
              <w:rPr>
                <w:color w:val="000000"/>
                <w:sz w:val="16"/>
              </w:rPr>
              <w:t>203.895,4</w:t>
            </w:r>
          </w:p>
        </w:tc>
        <w:tc>
          <w:tcPr>
            <w:tcW w:w="854" w:type="dxa"/>
            <w:tcBorders>
              <w:top w:val="nil"/>
              <w:left w:val="nil"/>
              <w:bottom w:val="single" w:sz="4" w:space="0" w:color="FFFFFF"/>
              <w:right w:val="single" w:sz="4" w:space="0" w:color="FFFFFF"/>
            </w:tcBorders>
            <w:shd w:val="clear" w:color="auto" w:fill="auto"/>
            <w:noWrap/>
            <w:vAlign w:val="bottom"/>
            <w:hideMark/>
          </w:tcPr>
          <w:p w14:paraId="59F30A7E" w14:textId="77777777" w:rsidR="004C78C0" w:rsidRPr="008D777B" w:rsidRDefault="004C78C0" w:rsidP="00654255">
            <w:pPr>
              <w:jc w:val="right"/>
              <w:rPr>
                <w:rFonts w:cstheme="minorHAnsi"/>
                <w:color w:val="000000"/>
                <w:sz w:val="16"/>
                <w:szCs w:val="16"/>
              </w:rPr>
            </w:pPr>
            <w:r w:rsidRPr="008D777B">
              <w:rPr>
                <w:color w:val="000000"/>
                <w:sz w:val="16"/>
              </w:rPr>
              <w:t>201.983,9</w:t>
            </w:r>
          </w:p>
        </w:tc>
        <w:tc>
          <w:tcPr>
            <w:tcW w:w="673" w:type="dxa"/>
            <w:tcBorders>
              <w:top w:val="nil"/>
              <w:left w:val="nil"/>
              <w:bottom w:val="single" w:sz="4" w:space="0" w:color="FFFFFF"/>
              <w:right w:val="nil"/>
            </w:tcBorders>
            <w:shd w:val="clear" w:color="auto" w:fill="auto"/>
            <w:noWrap/>
            <w:vAlign w:val="bottom"/>
            <w:hideMark/>
          </w:tcPr>
          <w:p w14:paraId="5BE66EB2" w14:textId="77777777" w:rsidR="004C78C0" w:rsidRPr="008D777B" w:rsidRDefault="004C78C0" w:rsidP="00654255">
            <w:pPr>
              <w:jc w:val="right"/>
              <w:rPr>
                <w:rFonts w:cstheme="minorHAnsi"/>
                <w:color w:val="000000"/>
                <w:sz w:val="16"/>
                <w:szCs w:val="16"/>
              </w:rPr>
            </w:pPr>
            <w:r w:rsidRPr="008D777B">
              <w:rPr>
                <w:color w:val="000000"/>
                <w:sz w:val="16"/>
              </w:rPr>
              <w:t>-0,9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2318439" w14:textId="77777777" w:rsidR="004C78C0" w:rsidRPr="008D777B" w:rsidRDefault="004C78C0" w:rsidP="00654255">
            <w:pPr>
              <w:jc w:val="right"/>
              <w:rPr>
                <w:rFonts w:cstheme="minorHAnsi"/>
                <w:color w:val="000000"/>
                <w:sz w:val="16"/>
                <w:szCs w:val="16"/>
              </w:rPr>
            </w:pPr>
            <w:r w:rsidRPr="008D777B">
              <w:rPr>
                <w:color w:val="000000"/>
                <w:sz w:val="16"/>
              </w:rPr>
              <w:t>101,6</w:t>
            </w:r>
          </w:p>
        </w:tc>
      </w:tr>
      <w:tr w:rsidR="004C78C0" w:rsidRPr="008D777B" w14:paraId="4D94A1D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F2E25E7" w14:textId="77777777" w:rsidR="004C78C0" w:rsidRPr="008D777B" w:rsidRDefault="004C78C0" w:rsidP="00654255">
            <w:pPr>
              <w:rPr>
                <w:rFonts w:cstheme="minorHAnsi"/>
                <w:color w:val="000000"/>
                <w:sz w:val="16"/>
                <w:szCs w:val="16"/>
              </w:rPr>
            </w:pPr>
            <w:r w:rsidRPr="008D777B">
              <w:rPr>
                <w:color w:val="000000"/>
                <w:sz w:val="16"/>
              </w:rPr>
              <w:t>Allemagne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870B700" w14:textId="77777777" w:rsidR="004C78C0" w:rsidRPr="008D777B" w:rsidRDefault="004C78C0" w:rsidP="00654255">
            <w:pPr>
              <w:jc w:val="right"/>
              <w:rPr>
                <w:rFonts w:cstheme="minorHAnsi"/>
                <w:color w:val="000000"/>
                <w:sz w:val="16"/>
                <w:szCs w:val="16"/>
              </w:rPr>
            </w:pPr>
            <w:r w:rsidRPr="008D777B">
              <w:rPr>
                <w:color w:val="000000"/>
                <w:sz w:val="16"/>
              </w:rPr>
              <w:t>12,1</w:t>
            </w:r>
          </w:p>
        </w:tc>
        <w:tc>
          <w:tcPr>
            <w:tcW w:w="990" w:type="dxa"/>
            <w:tcBorders>
              <w:top w:val="nil"/>
              <w:left w:val="nil"/>
              <w:bottom w:val="single" w:sz="4" w:space="0" w:color="FFFFFF"/>
              <w:right w:val="single" w:sz="4" w:space="0" w:color="FFFFFF"/>
            </w:tcBorders>
            <w:shd w:val="clear" w:color="auto" w:fill="auto"/>
            <w:vAlign w:val="bottom"/>
            <w:hideMark/>
          </w:tcPr>
          <w:p w14:paraId="17298206" w14:textId="77777777" w:rsidR="004C78C0" w:rsidRPr="008D777B" w:rsidRDefault="004C78C0" w:rsidP="00654255">
            <w:pPr>
              <w:jc w:val="right"/>
              <w:rPr>
                <w:rFonts w:cstheme="minorHAnsi"/>
                <w:color w:val="000000"/>
                <w:sz w:val="16"/>
                <w:szCs w:val="16"/>
              </w:rPr>
            </w:pPr>
            <w:r w:rsidRPr="008D777B">
              <w:rPr>
                <w:color w:val="000000"/>
                <w:sz w:val="16"/>
              </w:rPr>
              <w:t>209.017,6</w:t>
            </w:r>
          </w:p>
        </w:tc>
        <w:tc>
          <w:tcPr>
            <w:tcW w:w="990" w:type="dxa"/>
            <w:tcBorders>
              <w:top w:val="nil"/>
              <w:left w:val="nil"/>
              <w:bottom w:val="single" w:sz="4" w:space="0" w:color="FFFFFF"/>
              <w:right w:val="single" w:sz="4" w:space="0" w:color="FFFFFF"/>
            </w:tcBorders>
            <w:shd w:val="clear" w:color="auto" w:fill="auto"/>
            <w:vAlign w:val="bottom"/>
            <w:hideMark/>
          </w:tcPr>
          <w:p w14:paraId="2E6DDFF2" w14:textId="77777777" w:rsidR="004C78C0" w:rsidRPr="008D777B" w:rsidRDefault="004C78C0" w:rsidP="00654255">
            <w:pPr>
              <w:jc w:val="right"/>
              <w:rPr>
                <w:rFonts w:cstheme="minorHAnsi"/>
                <w:color w:val="000000"/>
                <w:sz w:val="16"/>
                <w:szCs w:val="16"/>
              </w:rPr>
            </w:pPr>
            <w:r w:rsidRPr="008D777B">
              <w:rPr>
                <w:color w:val="000000"/>
                <w:sz w:val="16"/>
              </w:rPr>
              <w:t>178.378,8</w:t>
            </w:r>
          </w:p>
        </w:tc>
        <w:tc>
          <w:tcPr>
            <w:tcW w:w="673" w:type="dxa"/>
            <w:tcBorders>
              <w:top w:val="nil"/>
              <w:left w:val="nil"/>
              <w:bottom w:val="single" w:sz="4" w:space="0" w:color="FFFFFF"/>
              <w:right w:val="single" w:sz="4" w:space="0" w:color="auto"/>
            </w:tcBorders>
            <w:shd w:val="clear" w:color="auto" w:fill="auto"/>
            <w:noWrap/>
            <w:vAlign w:val="bottom"/>
            <w:hideMark/>
          </w:tcPr>
          <w:p w14:paraId="4835107E" w14:textId="77777777" w:rsidR="004C78C0" w:rsidRPr="008D777B" w:rsidRDefault="004C78C0" w:rsidP="00654255">
            <w:pPr>
              <w:jc w:val="right"/>
              <w:rPr>
                <w:rFonts w:cstheme="minorHAnsi"/>
                <w:color w:val="000000"/>
                <w:sz w:val="16"/>
                <w:szCs w:val="16"/>
              </w:rPr>
            </w:pPr>
            <w:r w:rsidRPr="008D777B">
              <w:rPr>
                <w:color w:val="000000"/>
                <w:sz w:val="16"/>
              </w:rPr>
              <w:t>-14,7</w:t>
            </w:r>
          </w:p>
        </w:tc>
        <w:tc>
          <w:tcPr>
            <w:tcW w:w="829" w:type="dxa"/>
            <w:tcBorders>
              <w:top w:val="nil"/>
              <w:left w:val="nil"/>
              <w:bottom w:val="single" w:sz="4" w:space="0" w:color="FFFFFF"/>
              <w:right w:val="single" w:sz="4" w:space="0" w:color="FFFFFF"/>
            </w:tcBorders>
            <w:shd w:val="clear" w:color="auto" w:fill="auto"/>
            <w:noWrap/>
            <w:vAlign w:val="bottom"/>
            <w:hideMark/>
          </w:tcPr>
          <w:p w14:paraId="36C699DA" w14:textId="77777777" w:rsidR="004C78C0" w:rsidRPr="008D777B" w:rsidRDefault="004C78C0" w:rsidP="00654255">
            <w:pPr>
              <w:jc w:val="right"/>
              <w:rPr>
                <w:rFonts w:cstheme="minorHAnsi"/>
                <w:color w:val="000000"/>
                <w:sz w:val="16"/>
                <w:szCs w:val="16"/>
              </w:rPr>
            </w:pPr>
            <w:r w:rsidRPr="008D777B">
              <w:rPr>
                <w:color w:val="000000"/>
                <w:sz w:val="16"/>
              </w:rPr>
              <w:t>14,3</w:t>
            </w:r>
          </w:p>
        </w:tc>
        <w:tc>
          <w:tcPr>
            <w:tcW w:w="854" w:type="dxa"/>
            <w:tcBorders>
              <w:top w:val="nil"/>
              <w:left w:val="nil"/>
              <w:bottom w:val="single" w:sz="4" w:space="0" w:color="FFFFFF"/>
              <w:right w:val="single" w:sz="4" w:space="0" w:color="FFFFFF"/>
            </w:tcBorders>
            <w:shd w:val="clear" w:color="auto" w:fill="auto"/>
            <w:noWrap/>
            <w:vAlign w:val="bottom"/>
            <w:hideMark/>
          </w:tcPr>
          <w:p w14:paraId="7C08FF22" w14:textId="77777777" w:rsidR="004C78C0" w:rsidRPr="008D777B" w:rsidRDefault="004C78C0" w:rsidP="00654255">
            <w:pPr>
              <w:jc w:val="right"/>
              <w:rPr>
                <w:rFonts w:cstheme="minorHAnsi"/>
                <w:color w:val="000000"/>
                <w:sz w:val="16"/>
                <w:szCs w:val="16"/>
              </w:rPr>
            </w:pPr>
            <w:r w:rsidRPr="008D777B">
              <w:rPr>
                <w:color w:val="000000"/>
                <w:sz w:val="16"/>
              </w:rPr>
              <w:t>127.913,8</w:t>
            </w:r>
          </w:p>
        </w:tc>
        <w:tc>
          <w:tcPr>
            <w:tcW w:w="854" w:type="dxa"/>
            <w:tcBorders>
              <w:top w:val="nil"/>
              <w:left w:val="nil"/>
              <w:bottom w:val="single" w:sz="4" w:space="0" w:color="FFFFFF"/>
              <w:right w:val="single" w:sz="4" w:space="0" w:color="FFFFFF"/>
            </w:tcBorders>
            <w:shd w:val="clear" w:color="auto" w:fill="auto"/>
            <w:noWrap/>
            <w:vAlign w:val="bottom"/>
            <w:hideMark/>
          </w:tcPr>
          <w:p w14:paraId="0030AB60" w14:textId="77777777" w:rsidR="004C78C0" w:rsidRPr="008D777B" w:rsidRDefault="004C78C0" w:rsidP="00654255">
            <w:pPr>
              <w:jc w:val="right"/>
              <w:rPr>
                <w:rFonts w:cstheme="minorHAnsi"/>
                <w:color w:val="000000"/>
                <w:sz w:val="16"/>
                <w:szCs w:val="16"/>
              </w:rPr>
            </w:pPr>
            <w:r w:rsidRPr="008D777B">
              <w:rPr>
                <w:color w:val="000000"/>
                <w:sz w:val="16"/>
              </w:rPr>
              <w:t>124.293,1</w:t>
            </w:r>
          </w:p>
        </w:tc>
        <w:tc>
          <w:tcPr>
            <w:tcW w:w="673" w:type="dxa"/>
            <w:tcBorders>
              <w:top w:val="nil"/>
              <w:left w:val="nil"/>
              <w:bottom w:val="single" w:sz="4" w:space="0" w:color="FFFFFF"/>
              <w:right w:val="nil"/>
            </w:tcBorders>
            <w:shd w:val="clear" w:color="auto" w:fill="auto"/>
            <w:noWrap/>
            <w:vAlign w:val="bottom"/>
            <w:hideMark/>
          </w:tcPr>
          <w:p w14:paraId="662B2444" w14:textId="77777777" w:rsidR="004C78C0" w:rsidRPr="008D777B" w:rsidRDefault="004C78C0" w:rsidP="00654255">
            <w:pPr>
              <w:jc w:val="right"/>
              <w:rPr>
                <w:rFonts w:cstheme="minorHAnsi"/>
                <w:color w:val="000000"/>
                <w:sz w:val="16"/>
                <w:szCs w:val="16"/>
              </w:rPr>
            </w:pPr>
            <w:r w:rsidRPr="008D777B">
              <w:rPr>
                <w:color w:val="000000"/>
                <w:sz w:val="16"/>
              </w:rPr>
              <w:t>-2,8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01B2CDB" w14:textId="77777777" w:rsidR="004C78C0" w:rsidRPr="008D777B" w:rsidRDefault="004C78C0" w:rsidP="00654255">
            <w:pPr>
              <w:jc w:val="right"/>
              <w:rPr>
                <w:rFonts w:cstheme="minorHAnsi"/>
                <w:color w:val="000000"/>
                <w:sz w:val="16"/>
                <w:szCs w:val="16"/>
              </w:rPr>
            </w:pPr>
            <w:r w:rsidRPr="008D777B">
              <w:rPr>
                <w:color w:val="000000"/>
                <w:sz w:val="16"/>
              </w:rPr>
              <w:t>69,7</w:t>
            </w:r>
          </w:p>
        </w:tc>
      </w:tr>
      <w:tr w:rsidR="004C78C0" w:rsidRPr="008D777B" w14:paraId="3EAFA509"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A120F4C" w14:textId="77777777" w:rsidR="004C78C0" w:rsidRPr="008D777B" w:rsidRDefault="004C78C0" w:rsidP="00654255">
            <w:pPr>
              <w:rPr>
                <w:rFonts w:cstheme="minorHAnsi"/>
                <w:color w:val="000000"/>
                <w:sz w:val="16"/>
                <w:szCs w:val="16"/>
              </w:rPr>
            </w:pPr>
            <w:r w:rsidRPr="008D777B">
              <w:rPr>
                <w:color w:val="000000"/>
                <w:sz w:val="16"/>
              </w:rPr>
              <w:t>Espagne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1E1AE0E" w14:textId="77777777" w:rsidR="004C78C0" w:rsidRPr="008D777B" w:rsidRDefault="004C78C0" w:rsidP="00654255">
            <w:pPr>
              <w:jc w:val="right"/>
              <w:rPr>
                <w:rFonts w:cstheme="minorHAnsi"/>
                <w:color w:val="000000"/>
                <w:sz w:val="16"/>
                <w:szCs w:val="16"/>
              </w:rPr>
            </w:pPr>
            <w:r w:rsidRPr="008D777B">
              <w:rPr>
                <w:color w:val="000000"/>
                <w:sz w:val="16"/>
              </w:rPr>
              <w:t>0,8</w:t>
            </w:r>
          </w:p>
        </w:tc>
        <w:tc>
          <w:tcPr>
            <w:tcW w:w="990" w:type="dxa"/>
            <w:tcBorders>
              <w:top w:val="nil"/>
              <w:left w:val="nil"/>
              <w:bottom w:val="single" w:sz="4" w:space="0" w:color="FFFFFF"/>
              <w:right w:val="single" w:sz="4" w:space="0" w:color="FFFFFF"/>
            </w:tcBorders>
            <w:shd w:val="clear" w:color="auto" w:fill="auto"/>
            <w:vAlign w:val="bottom"/>
            <w:hideMark/>
          </w:tcPr>
          <w:p w14:paraId="49DF0196" w14:textId="77777777" w:rsidR="004C78C0" w:rsidRPr="008D777B" w:rsidRDefault="004C78C0" w:rsidP="00654255">
            <w:pPr>
              <w:jc w:val="right"/>
              <w:rPr>
                <w:rFonts w:cstheme="minorHAnsi"/>
                <w:color w:val="000000"/>
                <w:sz w:val="16"/>
                <w:szCs w:val="16"/>
              </w:rPr>
            </w:pPr>
            <w:r w:rsidRPr="008D777B">
              <w:rPr>
                <w:color w:val="000000"/>
                <w:sz w:val="16"/>
              </w:rPr>
              <w:t>10.122,6</w:t>
            </w:r>
          </w:p>
        </w:tc>
        <w:tc>
          <w:tcPr>
            <w:tcW w:w="990" w:type="dxa"/>
            <w:tcBorders>
              <w:top w:val="nil"/>
              <w:left w:val="nil"/>
              <w:bottom w:val="single" w:sz="4" w:space="0" w:color="FFFFFF"/>
              <w:right w:val="single" w:sz="4" w:space="0" w:color="FFFFFF"/>
            </w:tcBorders>
            <w:shd w:val="clear" w:color="auto" w:fill="auto"/>
            <w:vAlign w:val="bottom"/>
            <w:hideMark/>
          </w:tcPr>
          <w:p w14:paraId="0B4CC1AC" w14:textId="77777777" w:rsidR="004C78C0" w:rsidRPr="008D777B" w:rsidRDefault="004C78C0" w:rsidP="00654255">
            <w:pPr>
              <w:jc w:val="right"/>
              <w:rPr>
                <w:rFonts w:cstheme="minorHAnsi"/>
                <w:color w:val="000000"/>
                <w:sz w:val="16"/>
                <w:szCs w:val="16"/>
              </w:rPr>
            </w:pPr>
            <w:r w:rsidRPr="008D777B">
              <w:rPr>
                <w:color w:val="000000"/>
                <w:sz w:val="16"/>
              </w:rPr>
              <w:t>11.100,6</w:t>
            </w:r>
          </w:p>
        </w:tc>
        <w:tc>
          <w:tcPr>
            <w:tcW w:w="673" w:type="dxa"/>
            <w:tcBorders>
              <w:top w:val="nil"/>
              <w:left w:val="nil"/>
              <w:bottom w:val="single" w:sz="4" w:space="0" w:color="FFFFFF"/>
              <w:right w:val="single" w:sz="4" w:space="0" w:color="auto"/>
            </w:tcBorders>
            <w:shd w:val="clear" w:color="auto" w:fill="auto"/>
            <w:noWrap/>
            <w:vAlign w:val="bottom"/>
            <w:hideMark/>
          </w:tcPr>
          <w:p w14:paraId="1AAE965D" w14:textId="77777777" w:rsidR="004C78C0" w:rsidRPr="008D777B" w:rsidRDefault="004C78C0" w:rsidP="00654255">
            <w:pPr>
              <w:jc w:val="right"/>
              <w:rPr>
                <w:rFonts w:cstheme="minorHAnsi"/>
                <w:color w:val="000000"/>
                <w:sz w:val="16"/>
                <w:szCs w:val="16"/>
              </w:rPr>
            </w:pPr>
            <w:r w:rsidRPr="008D777B">
              <w:rPr>
                <w:color w:val="000000"/>
                <w:sz w:val="16"/>
              </w:rPr>
              <w:t>9,7</w:t>
            </w:r>
          </w:p>
        </w:tc>
        <w:tc>
          <w:tcPr>
            <w:tcW w:w="829" w:type="dxa"/>
            <w:tcBorders>
              <w:top w:val="nil"/>
              <w:left w:val="nil"/>
              <w:bottom w:val="single" w:sz="4" w:space="0" w:color="FFFFFF"/>
              <w:right w:val="single" w:sz="4" w:space="0" w:color="FFFFFF"/>
            </w:tcBorders>
            <w:shd w:val="clear" w:color="auto" w:fill="auto"/>
            <w:noWrap/>
            <w:vAlign w:val="bottom"/>
            <w:hideMark/>
          </w:tcPr>
          <w:p w14:paraId="36CB2E13" w14:textId="77777777" w:rsidR="004C78C0" w:rsidRPr="008D777B" w:rsidRDefault="004C78C0" w:rsidP="00654255">
            <w:pPr>
              <w:jc w:val="right"/>
              <w:rPr>
                <w:rFonts w:cstheme="minorHAnsi"/>
                <w:color w:val="000000"/>
                <w:sz w:val="16"/>
                <w:szCs w:val="16"/>
              </w:rPr>
            </w:pPr>
            <w:r w:rsidRPr="008D777B">
              <w:rPr>
                <w:color w:val="000000"/>
                <w:sz w:val="16"/>
              </w:rPr>
              <w:t>2,4</w:t>
            </w:r>
          </w:p>
        </w:tc>
        <w:tc>
          <w:tcPr>
            <w:tcW w:w="854" w:type="dxa"/>
            <w:tcBorders>
              <w:top w:val="nil"/>
              <w:left w:val="nil"/>
              <w:bottom w:val="single" w:sz="4" w:space="0" w:color="FFFFFF"/>
              <w:right w:val="single" w:sz="4" w:space="0" w:color="FFFFFF"/>
            </w:tcBorders>
            <w:shd w:val="clear" w:color="auto" w:fill="auto"/>
            <w:noWrap/>
            <w:vAlign w:val="bottom"/>
            <w:hideMark/>
          </w:tcPr>
          <w:p w14:paraId="2BB362E6" w14:textId="77777777" w:rsidR="004C78C0" w:rsidRPr="008D777B" w:rsidRDefault="004C78C0" w:rsidP="00654255">
            <w:pPr>
              <w:jc w:val="right"/>
              <w:rPr>
                <w:rFonts w:cstheme="minorHAnsi"/>
                <w:color w:val="000000"/>
                <w:sz w:val="16"/>
                <w:szCs w:val="16"/>
              </w:rPr>
            </w:pPr>
            <w:r w:rsidRPr="008D777B">
              <w:rPr>
                <w:color w:val="000000"/>
                <w:sz w:val="16"/>
              </w:rPr>
              <w:t>14.194,5</w:t>
            </w:r>
          </w:p>
        </w:tc>
        <w:tc>
          <w:tcPr>
            <w:tcW w:w="854" w:type="dxa"/>
            <w:tcBorders>
              <w:top w:val="nil"/>
              <w:left w:val="nil"/>
              <w:bottom w:val="single" w:sz="4" w:space="0" w:color="FFFFFF"/>
              <w:right w:val="single" w:sz="4" w:space="0" w:color="FFFFFF"/>
            </w:tcBorders>
            <w:shd w:val="clear" w:color="auto" w:fill="auto"/>
            <w:noWrap/>
            <w:vAlign w:val="bottom"/>
            <w:hideMark/>
          </w:tcPr>
          <w:p w14:paraId="1BE5DCC9" w14:textId="77777777" w:rsidR="004C78C0" w:rsidRPr="008D777B" w:rsidRDefault="004C78C0" w:rsidP="00654255">
            <w:pPr>
              <w:jc w:val="right"/>
              <w:rPr>
                <w:rFonts w:cstheme="minorHAnsi"/>
                <w:color w:val="000000"/>
                <w:sz w:val="16"/>
                <w:szCs w:val="16"/>
              </w:rPr>
            </w:pPr>
            <w:r w:rsidRPr="008D777B">
              <w:rPr>
                <w:color w:val="000000"/>
                <w:sz w:val="16"/>
              </w:rPr>
              <w:t>20.505,8</w:t>
            </w:r>
          </w:p>
        </w:tc>
        <w:tc>
          <w:tcPr>
            <w:tcW w:w="673" w:type="dxa"/>
            <w:tcBorders>
              <w:top w:val="nil"/>
              <w:left w:val="nil"/>
              <w:bottom w:val="single" w:sz="4" w:space="0" w:color="FFFFFF"/>
              <w:right w:val="nil"/>
            </w:tcBorders>
            <w:shd w:val="clear" w:color="auto" w:fill="auto"/>
            <w:noWrap/>
            <w:vAlign w:val="bottom"/>
            <w:hideMark/>
          </w:tcPr>
          <w:p w14:paraId="5C53CC95" w14:textId="77777777" w:rsidR="004C78C0" w:rsidRPr="008D777B" w:rsidRDefault="004C78C0" w:rsidP="00654255">
            <w:pPr>
              <w:jc w:val="right"/>
              <w:rPr>
                <w:rFonts w:cstheme="minorHAnsi"/>
                <w:color w:val="000000"/>
                <w:sz w:val="16"/>
                <w:szCs w:val="16"/>
              </w:rPr>
            </w:pPr>
            <w:r w:rsidRPr="008D777B">
              <w:rPr>
                <w:color w:val="000000"/>
                <w:sz w:val="16"/>
              </w:rPr>
              <w:t>44,5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5DC4780" w14:textId="77777777" w:rsidR="004C78C0" w:rsidRPr="008D777B" w:rsidRDefault="004C78C0" w:rsidP="00654255">
            <w:pPr>
              <w:jc w:val="right"/>
              <w:rPr>
                <w:rFonts w:cstheme="minorHAnsi"/>
                <w:color w:val="000000"/>
                <w:sz w:val="16"/>
                <w:szCs w:val="16"/>
              </w:rPr>
            </w:pPr>
            <w:r w:rsidRPr="008D777B">
              <w:rPr>
                <w:color w:val="000000"/>
                <w:sz w:val="16"/>
              </w:rPr>
              <w:t>184,7</w:t>
            </w:r>
          </w:p>
        </w:tc>
      </w:tr>
      <w:tr w:rsidR="004C78C0" w:rsidRPr="008D777B" w14:paraId="24587BA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35B1233" w14:textId="77777777" w:rsidR="004C78C0" w:rsidRPr="008D777B" w:rsidRDefault="004C78C0" w:rsidP="00654255">
            <w:pPr>
              <w:rPr>
                <w:rFonts w:cstheme="minorHAnsi"/>
                <w:color w:val="000000"/>
                <w:sz w:val="16"/>
                <w:szCs w:val="16"/>
              </w:rPr>
            </w:pPr>
            <w:r w:rsidRPr="008D777B">
              <w:rPr>
                <w:color w:val="000000"/>
                <w:sz w:val="16"/>
              </w:rPr>
              <w:t>Italie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7D616C2" w14:textId="77777777" w:rsidR="004C78C0" w:rsidRPr="008D777B" w:rsidRDefault="004C78C0" w:rsidP="00654255">
            <w:pPr>
              <w:jc w:val="right"/>
              <w:rPr>
                <w:rFonts w:cstheme="minorHAnsi"/>
                <w:color w:val="000000"/>
                <w:sz w:val="16"/>
                <w:szCs w:val="16"/>
              </w:rPr>
            </w:pPr>
            <w:r w:rsidRPr="008D777B">
              <w:rPr>
                <w:color w:val="000000"/>
                <w:sz w:val="16"/>
              </w:rPr>
              <w:t>5,7</w:t>
            </w:r>
          </w:p>
        </w:tc>
        <w:tc>
          <w:tcPr>
            <w:tcW w:w="990" w:type="dxa"/>
            <w:tcBorders>
              <w:top w:val="nil"/>
              <w:left w:val="nil"/>
              <w:bottom w:val="single" w:sz="4" w:space="0" w:color="FFFFFF"/>
              <w:right w:val="single" w:sz="4" w:space="0" w:color="FFFFFF"/>
            </w:tcBorders>
            <w:shd w:val="clear" w:color="auto" w:fill="auto"/>
            <w:vAlign w:val="bottom"/>
            <w:hideMark/>
          </w:tcPr>
          <w:p w14:paraId="3B33B711" w14:textId="77777777" w:rsidR="004C78C0" w:rsidRPr="008D777B" w:rsidRDefault="004C78C0" w:rsidP="00654255">
            <w:pPr>
              <w:jc w:val="right"/>
              <w:rPr>
                <w:rFonts w:cstheme="minorHAnsi"/>
                <w:color w:val="000000"/>
                <w:sz w:val="16"/>
                <w:szCs w:val="16"/>
              </w:rPr>
            </w:pPr>
            <w:r w:rsidRPr="008D777B">
              <w:rPr>
                <w:color w:val="000000"/>
                <w:sz w:val="16"/>
              </w:rPr>
              <w:t>99.658,7</w:t>
            </w:r>
          </w:p>
        </w:tc>
        <w:tc>
          <w:tcPr>
            <w:tcW w:w="990" w:type="dxa"/>
            <w:tcBorders>
              <w:top w:val="nil"/>
              <w:left w:val="nil"/>
              <w:bottom w:val="single" w:sz="4" w:space="0" w:color="FFFFFF"/>
              <w:right w:val="single" w:sz="4" w:space="0" w:color="FFFFFF"/>
            </w:tcBorders>
            <w:shd w:val="clear" w:color="auto" w:fill="auto"/>
            <w:vAlign w:val="bottom"/>
            <w:hideMark/>
          </w:tcPr>
          <w:p w14:paraId="4A02CF8E" w14:textId="77777777" w:rsidR="004C78C0" w:rsidRPr="008D777B" w:rsidRDefault="004C78C0" w:rsidP="00654255">
            <w:pPr>
              <w:jc w:val="right"/>
              <w:rPr>
                <w:rFonts w:cstheme="minorHAnsi"/>
                <w:color w:val="000000"/>
                <w:sz w:val="16"/>
                <w:szCs w:val="16"/>
              </w:rPr>
            </w:pPr>
            <w:r w:rsidRPr="008D777B">
              <w:rPr>
                <w:color w:val="000000"/>
                <w:sz w:val="16"/>
              </w:rPr>
              <w:t>83.401,9</w:t>
            </w:r>
          </w:p>
        </w:tc>
        <w:tc>
          <w:tcPr>
            <w:tcW w:w="673" w:type="dxa"/>
            <w:tcBorders>
              <w:top w:val="nil"/>
              <w:left w:val="nil"/>
              <w:bottom w:val="single" w:sz="4" w:space="0" w:color="FFFFFF"/>
              <w:right w:val="single" w:sz="4" w:space="0" w:color="auto"/>
            </w:tcBorders>
            <w:shd w:val="clear" w:color="auto" w:fill="auto"/>
            <w:noWrap/>
            <w:vAlign w:val="bottom"/>
            <w:hideMark/>
          </w:tcPr>
          <w:p w14:paraId="68E16641" w14:textId="77777777" w:rsidR="004C78C0" w:rsidRPr="008D777B" w:rsidRDefault="004C78C0" w:rsidP="00654255">
            <w:pPr>
              <w:jc w:val="right"/>
              <w:rPr>
                <w:rFonts w:cstheme="minorHAnsi"/>
                <w:color w:val="000000"/>
                <w:sz w:val="16"/>
                <w:szCs w:val="16"/>
              </w:rPr>
            </w:pPr>
            <w:r w:rsidRPr="008D777B">
              <w:rPr>
                <w:color w:val="000000"/>
                <w:sz w:val="16"/>
              </w:rPr>
              <w:t>-16,3</w:t>
            </w:r>
          </w:p>
        </w:tc>
        <w:tc>
          <w:tcPr>
            <w:tcW w:w="829" w:type="dxa"/>
            <w:tcBorders>
              <w:top w:val="nil"/>
              <w:left w:val="nil"/>
              <w:bottom w:val="single" w:sz="4" w:space="0" w:color="FFFFFF"/>
              <w:right w:val="single" w:sz="4" w:space="0" w:color="FFFFFF"/>
            </w:tcBorders>
            <w:shd w:val="clear" w:color="auto" w:fill="auto"/>
            <w:noWrap/>
            <w:vAlign w:val="bottom"/>
            <w:hideMark/>
          </w:tcPr>
          <w:p w14:paraId="2A1CCC7E" w14:textId="77777777" w:rsidR="004C78C0" w:rsidRPr="008D777B" w:rsidRDefault="004C78C0" w:rsidP="00654255">
            <w:pPr>
              <w:jc w:val="right"/>
              <w:rPr>
                <w:rFonts w:cstheme="minorHAnsi"/>
                <w:color w:val="000000"/>
                <w:sz w:val="16"/>
                <w:szCs w:val="16"/>
              </w:rPr>
            </w:pPr>
            <w:r w:rsidRPr="008D777B">
              <w:rPr>
                <w:color w:val="000000"/>
                <w:sz w:val="16"/>
              </w:rPr>
              <w:t>2,1</w:t>
            </w:r>
          </w:p>
        </w:tc>
        <w:tc>
          <w:tcPr>
            <w:tcW w:w="854" w:type="dxa"/>
            <w:tcBorders>
              <w:top w:val="nil"/>
              <w:left w:val="nil"/>
              <w:bottom w:val="single" w:sz="4" w:space="0" w:color="FFFFFF"/>
              <w:right w:val="single" w:sz="4" w:space="0" w:color="FFFFFF"/>
            </w:tcBorders>
            <w:shd w:val="clear" w:color="auto" w:fill="auto"/>
            <w:noWrap/>
            <w:vAlign w:val="bottom"/>
            <w:hideMark/>
          </w:tcPr>
          <w:p w14:paraId="2DDDC16F" w14:textId="77777777" w:rsidR="004C78C0" w:rsidRPr="008D777B" w:rsidRDefault="004C78C0" w:rsidP="00654255">
            <w:pPr>
              <w:jc w:val="right"/>
              <w:rPr>
                <w:rFonts w:cstheme="minorHAnsi"/>
                <w:color w:val="000000"/>
                <w:sz w:val="16"/>
                <w:szCs w:val="16"/>
              </w:rPr>
            </w:pPr>
            <w:r w:rsidRPr="008D777B">
              <w:rPr>
                <w:color w:val="000000"/>
                <w:sz w:val="16"/>
              </w:rPr>
              <w:t>21.312,4</w:t>
            </w:r>
          </w:p>
        </w:tc>
        <w:tc>
          <w:tcPr>
            <w:tcW w:w="854" w:type="dxa"/>
            <w:tcBorders>
              <w:top w:val="nil"/>
              <w:left w:val="nil"/>
              <w:bottom w:val="single" w:sz="4" w:space="0" w:color="FFFFFF"/>
              <w:right w:val="single" w:sz="4" w:space="0" w:color="FFFFFF"/>
            </w:tcBorders>
            <w:shd w:val="clear" w:color="auto" w:fill="auto"/>
            <w:noWrap/>
            <w:vAlign w:val="bottom"/>
            <w:hideMark/>
          </w:tcPr>
          <w:p w14:paraId="2F5299FD" w14:textId="77777777" w:rsidR="004C78C0" w:rsidRPr="008D777B" w:rsidRDefault="004C78C0" w:rsidP="00654255">
            <w:pPr>
              <w:jc w:val="right"/>
              <w:rPr>
                <w:rFonts w:cstheme="minorHAnsi"/>
                <w:color w:val="000000"/>
                <w:sz w:val="16"/>
                <w:szCs w:val="16"/>
              </w:rPr>
            </w:pPr>
            <w:r w:rsidRPr="008D777B">
              <w:rPr>
                <w:color w:val="000000"/>
                <w:sz w:val="16"/>
              </w:rPr>
              <w:t>17.896,2</w:t>
            </w:r>
          </w:p>
        </w:tc>
        <w:tc>
          <w:tcPr>
            <w:tcW w:w="673" w:type="dxa"/>
            <w:tcBorders>
              <w:top w:val="nil"/>
              <w:left w:val="nil"/>
              <w:bottom w:val="single" w:sz="4" w:space="0" w:color="FFFFFF"/>
              <w:right w:val="nil"/>
            </w:tcBorders>
            <w:shd w:val="clear" w:color="auto" w:fill="auto"/>
            <w:noWrap/>
            <w:vAlign w:val="bottom"/>
            <w:hideMark/>
          </w:tcPr>
          <w:p w14:paraId="0EEA5083" w14:textId="77777777" w:rsidR="004C78C0" w:rsidRPr="008D777B" w:rsidRDefault="004C78C0" w:rsidP="00654255">
            <w:pPr>
              <w:jc w:val="right"/>
              <w:rPr>
                <w:rFonts w:cstheme="minorHAnsi"/>
                <w:color w:val="000000"/>
                <w:sz w:val="16"/>
                <w:szCs w:val="16"/>
              </w:rPr>
            </w:pPr>
            <w:r w:rsidRPr="008D777B">
              <w:rPr>
                <w:color w:val="000000"/>
                <w:sz w:val="16"/>
              </w:rPr>
              <w:t>-16,0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E1F5DA6" w14:textId="77777777" w:rsidR="004C78C0" w:rsidRPr="008D777B" w:rsidRDefault="004C78C0" w:rsidP="00654255">
            <w:pPr>
              <w:jc w:val="right"/>
              <w:rPr>
                <w:rFonts w:cstheme="minorHAnsi"/>
                <w:color w:val="000000"/>
                <w:sz w:val="16"/>
                <w:szCs w:val="16"/>
              </w:rPr>
            </w:pPr>
            <w:r w:rsidRPr="008D777B">
              <w:rPr>
                <w:color w:val="000000"/>
                <w:sz w:val="16"/>
              </w:rPr>
              <w:t>21,5</w:t>
            </w:r>
          </w:p>
        </w:tc>
      </w:tr>
      <w:tr w:rsidR="004C78C0" w:rsidRPr="008D777B" w14:paraId="095958C6"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18C810B" w14:textId="77777777" w:rsidR="004C78C0" w:rsidRPr="008D777B" w:rsidRDefault="004C78C0" w:rsidP="00654255">
            <w:pPr>
              <w:rPr>
                <w:rFonts w:cstheme="minorHAnsi"/>
                <w:color w:val="000000"/>
                <w:sz w:val="16"/>
                <w:szCs w:val="16"/>
              </w:rPr>
            </w:pPr>
            <w:r w:rsidRPr="008D777B">
              <w:rPr>
                <w:color w:val="000000"/>
                <w:sz w:val="16"/>
              </w:rPr>
              <w:t>Luxembourg</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63F78DC"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3C0C5F1F" w14:textId="77777777" w:rsidR="004C78C0" w:rsidRPr="008D777B" w:rsidRDefault="004C78C0" w:rsidP="00654255">
            <w:pPr>
              <w:jc w:val="right"/>
              <w:rPr>
                <w:rFonts w:cstheme="minorHAnsi"/>
                <w:color w:val="000000"/>
                <w:sz w:val="16"/>
                <w:szCs w:val="16"/>
              </w:rPr>
            </w:pPr>
            <w:r w:rsidRPr="008D777B">
              <w:rPr>
                <w:color w:val="000000"/>
                <w:sz w:val="16"/>
              </w:rPr>
              <w:t>1.191,9</w:t>
            </w:r>
          </w:p>
        </w:tc>
        <w:tc>
          <w:tcPr>
            <w:tcW w:w="990" w:type="dxa"/>
            <w:tcBorders>
              <w:top w:val="nil"/>
              <w:left w:val="nil"/>
              <w:bottom w:val="single" w:sz="4" w:space="0" w:color="FFFFFF"/>
              <w:right w:val="single" w:sz="4" w:space="0" w:color="FFFFFF"/>
            </w:tcBorders>
            <w:shd w:val="clear" w:color="auto" w:fill="auto"/>
            <w:vAlign w:val="bottom"/>
            <w:hideMark/>
          </w:tcPr>
          <w:p w14:paraId="41AA01E0" w14:textId="77777777" w:rsidR="004C78C0" w:rsidRPr="008D777B" w:rsidRDefault="004C78C0" w:rsidP="00654255">
            <w:pPr>
              <w:jc w:val="right"/>
              <w:rPr>
                <w:rFonts w:cstheme="minorHAnsi"/>
                <w:color w:val="000000"/>
                <w:sz w:val="16"/>
                <w:szCs w:val="16"/>
              </w:rPr>
            </w:pPr>
            <w:r w:rsidRPr="008D777B">
              <w:rPr>
                <w:color w:val="000000"/>
                <w:sz w:val="16"/>
              </w:rPr>
              <w:t>1.107,9</w:t>
            </w:r>
          </w:p>
        </w:tc>
        <w:tc>
          <w:tcPr>
            <w:tcW w:w="673" w:type="dxa"/>
            <w:tcBorders>
              <w:top w:val="nil"/>
              <w:left w:val="nil"/>
              <w:bottom w:val="single" w:sz="4" w:space="0" w:color="FFFFFF"/>
              <w:right w:val="single" w:sz="4" w:space="0" w:color="auto"/>
            </w:tcBorders>
            <w:shd w:val="clear" w:color="auto" w:fill="auto"/>
            <w:noWrap/>
            <w:vAlign w:val="bottom"/>
            <w:hideMark/>
          </w:tcPr>
          <w:p w14:paraId="3216D182" w14:textId="77777777" w:rsidR="004C78C0" w:rsidRPr="008D777B" w:rsidRDefault="004C78C0" w:rsidP="00654255">
            <w:pPr>
              <w:jc w:val="right"/>
              <w:rPr>
                <w:rFonts w:cstheme="minorHAnsi"/>
                <w:color w:val="000000"/>
                <w:sz w:val="16"/>
                <w:szCs w:val="16"/>
              </w:rPr>
            </w:pPr>
            <w:r w:rsidRPr="008D777B">
              <w:rPr>
                <w:color w:val="000000"/>
                <w:sz w:val="16"/>
              </w:rPr>
              <w:t>-7,1</w:t>
            </w:r>
          </w:p>
        </w:tc>
        <w:tc>
          <w:tcPr>
            <w:tcW w:w="829" w:type="dxa"/>
            <w:tcBorders>
              <w:top w:val="nil"/>
              <w:left w:val="nil"/>
              <w:bottom w:val="single" w:sz="4" w:space="0" w:color="FFFFFF"/>
              <w:right w:val="single" w:sz="4" w:space="0" w:color="FFFFFF"/>
            </w:tcBorders>
            <w:shd w:val="clear" w:color="auto" w:fill="auto"/>
            <w:noWrap/>
            <w:vAlign w:val="bottom"/>
            <w:hideMark/>
          </w:tcPr>
          <w:p w14:paraId="3070279E" w14:textId="77777777" w:rsidR="004C78C0" w:rsidRPr="008D777B" w:rsidRDefault="004C78C0" w:rsidP="00654255">
            <w:pPr>
              <w:jc w:val="right"/>
              <w:rPr>
                <w:rFonts w:cstheme="minorHAnsi"/>
                <w:color w:val="000000"/>
                <w:sz w:val="16"/>
                <w:szCs w:val="16"/>
              </w:rPr>
            </w:pPr>
            <w:r w:rsidRPr="008D777B">
              <w:rPr>
                <w:color w:val="000000"/>
                <w:sz w:val="16"/>
              </w:rPr>
              <w:t>1,6</w:t>
            </w:r>
          </w:p>
        </w:tc>
        <w:tc>
          <w:tcPr>
            <w:tcW w:w="854" w:type="dxa"/>
            <w:tcBorders>
              <w:top w:val="nil"/>
              <w:left w:val="nil"/>
              <w:bottom w:val="single" w:sz="4" w:space="0" w:color="FFFFFF"/>
              <w:right w:val="single" w:sz="4" w:space="0" w:color="FFFFFF"/>
            </w:tcBorders>
            <w:shd w:val="clear" w:color="auto" w:fill="auto"/>
            <w:noWrap/>
            <w:vAlign w:val="bottom"/>
            <w:hideMark/>
          </w:tcPr>
          <w:p w14:paraId="59ACA580" w14:textId="77777777" w:rsidR="004C78C0" w:rsidRPr="008D777B" w:rsidRDefault="004C78C0" w:rsidP="00654255">
            <w:pPr>
              <w:jc w:val="right"/>
              <w:rPr>
                <w:rFonts w:cstheme="minorHAnsi"/>
                <w:color w:val="000000"/>
                <w:sz w:val="16"/>
                <w:szCs w:val="16"/>
              </w:rPr>
            </w:pPr>
            <w:r w:rsidRPr="008D777B">
              <w:rPr>
                <w:color w:val="000000"/>
                <w:sz w:val="16"/>
              </w:rPr>
              <w:t>15.888,0</w:t>
            </w:r>
          </w:p>
        </w:tc>
        <w:tc>
          <w:tcPr>
            <w:tcW w:w="854" w:type="dxa"/>
            <w:tcBorders>
              <w:top w:val="nil"/>
              <w:left w:val="nil"/>
              <w:bottom w:val="single" w:sz="4" w:space="0" w:color="FFFFFF"/>
              <w:right w:val="single" w:sz="4" w:space="0" w:color="FFFFFF"/>
            </w:tcBorders>
            <w:shd w:val="clear" w:color="auto" w:fill="auto"/>
            <w:noWrap/>
            <w:vAlign w:val="bottom"/>
            <w:hideMark/>
          </w:tcPr>
          <w:p w14:paraId="4F55F5D1" w14:textId="77777777" w:rsidR="004C78C0" w:rsidRPr="008D777B" w:rsidRDefault="004C78C0" w:rsidP="00654255">
            <w:pPr>
              <w:jc w:val="right"/>
              <w:rPr>
                <w:rFonts w:cstheme="minorHAnsi"/>
                <w:color w:val="000000"/>
                <w:sz w:val="16"/>
                <w:szCs w:val="16"/>
              </w:rPr>
            </w:pPr>
            <w:r w:rsidRPr="008D777B">
              <w:rPr>
                <w:color w:val="000000"/>
                <w:sz w:val="16"/>
              </w:rPr>
              <w:t>14.042,2</w:t>
            </w:r>
          </w:p>
        </w:tc>
        <w:tc>
          <w:tcPr>
            <w:tcW w:w="673" w:type="dxa"/>
            <w:tcBorders>
              <w:top w:val="nil"/>
              <w:left w:val="nil"/>
              <w:bottom w:val="single" w:sz="4" w:space="0" w:color="FFFFFF"/>
              <w:right w:val="nil"/>
            </w:tcBorders>
            <w:shd w:val="clear" w:color="auto" w:fill="auto"/>
            <w:noWrap/>
            <w:vAlign w:val="bottom"/>
            <w:hideMark/>
          </w:tcPr>
          <w:p w14:paraId="2FC4365B" w14:textId="77777777" w:rsidR="004C78C0" w:rsidRPr="008D777B" w:rsidRDefault="004C78C0" w:rsidP="00654255">
            <w:pPr>
              <w:jc w:val="right"/>
              <w:rPr>
                <w:rFonts w:cstheme="minorHAnsi"/>
                <w:color w:val="000000"/>
                <w:sz w:val="16"/>
                <w:szCs w:val="16"/>
              </w:rPr>
            </w:pPr>
            <w:r w:rsidRPr="008D777B">
              <w:rPr>
                <w:color w:val="000000"/>
                <w:sz w:val="16"/>
              </w:rPr>
              <w:t>-11,6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5661C53" w14:textId="77777777" w:rsidR="004C78C0" w:rsidRPr="008D777B" w:rsidRDefault="004C78C0" w:rsidP="00654255">
            <w:pPr>
              <w:jc w:val="right"/>
              <w:rPr>
                <w:rFonts w:cstheme="minorHAnsi"/>
                <w:color w:val="000000"/>
                <w:sz w:val="16"/>
                <w:szCs w:val="16"/>
              </w:rPr>
            </w:pPr>
            <w:r w:rsidRPr="008D777B">
              <w:rPr>
                <w:color w:val="000000"/>
                <w:sz w:val="16"/>
              </w:rPr>
              <w:t>1.267,5</w:t>
            </w:r>
          </w:p>
        </w:tc>
      </w:tr>
      <w:tr w:rsidR="004C78C0" w:rsidRPr="008D777B" w14:paraId="3179D97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3AF5562" w14:textId="77777777" w:rsidR="004C78C0" w:rsidRPr="008D777B" w:rsidRDefault="004C78C0" w:rsidP="00654255">
            <w:pPr>
              <w:rPr>
                <w:rFonts w:cstheme="minorHAnsi"/>
                <w:color w:val="000000"/>
                <w:sz w:val="16"/>
                <w:szCs w:val="16"/>
              </w:rPr>
            </w:pPr>
            <w:r w:rsidRPr="008D777B">
              <w:rPr>
                <w:color w:val="000000"/>
                <w:sz w:val="16"/>
              </w:rPr>
              <w:t>Pologne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86B65F2" w14:textId="77777777" w:rsidR="004C78C0" w:rsidRPr="008D777B" w:rsidRDefault="004C78C0" w:rsidP="00654255">
            <w:pPr>
              <w:jc w:val="right"/>
              <w:rPr>
                <w:rFonts w:cstheme="minorHAnsi"/>
                <w:color w:val="000000"/>
                <w:sz w:val="16"/>
                <w:szCs w:val="16"/>
              </w:rPr>
            </w:pPr>
            <w:r w:rsidRPr="008D777B">
              <w:rPr>
                <w:color w:val="000000"/>
                <w:sz w:val="16"/>
              </w:rPr>
              <w:t>7,2</w:t>
            </w:r>
          </w:p>
        </w:tc>
        <w:tc>
          <w:tcPr>
            <w:tcW w:w="990" w:type="dxa"/>
            <w:tcBorders>
              <w:top w:val="nil"/>
              <w:left w:val="nil"/>
              <w:bottom w:val="single" w:sz="4" w:space="0" w:color="FFFFFF"/>
              <w:right w:val="single" w:sz="4" w:space="0" w:color="FFFFFF"/>
            </w:tcBorders>
            <w:shd w:val="clear" w:color="auto" w:fill="auto"/>
            <w:vAlign w:val="bottom"/>
            <w:hideMark/>
          </w:tcPr>
          <w:p w14:paraId="0B32CA7C" w14:textId="77777777" w:rsidR="004C78C0" w:rsidRPr="008D777B" w:rsidRDefault="004C78C0" w:rsidP="00654255">
            <w:pPr>
              <w:jc w:val="right"/>
              <w:rPr>
                <w:rFonts w:cstheme="minorHAnsi"/>
                <w:color w:val="000000"/>
                <w:sz w:val="16"/>
                <w:szCs w:val="16"/>
              </w:rPr>
            </w:pPr>
            <w:r w:rsidRPr="008D777B">
              <w:rPr>
                <w:color w:val="000000"/>
                <w:sz w:val="16"/>
              </w:rPr>
              <w:t>120.152,3</w:t>
            </w:r>
          </w:p>
        </w:tc>
        <w:tc>
          <w:tcPr>
            <w:tcW w:w="990" w:type="dxa"/>
            <w:tcBorders>
              <w:top w:val="nil"/>
              <w:left w:val="nil"/>
              <w:bottom w:val="single" w:sz="4" w:space="0" w:color="FFFFFF"/>
              <w:right w:val="single" w:sz="4" w:space="0" w:color="FFFFFF"/>
            </w:tcBorders>
            <w:shd w:val="clear" w:color="auto" w:fill="auto"/>
            <w:vAlign w:val="bottom"/>
            <w:hideMark/>
          </w:tcPr>
          <w:p w14:paraId="368EBB28" w14:textId="77777777" w:rsidR="004C78C0" w:rsidRPr="008D777B" w:rsidRDefault="004C78C0" w:rsidP="00654255">
            <w:pPr>
              <w:jc w:val="right"/>
              <w:rPr>
                <w:rFonts w:cstheme="minorHAnsi"/>
                <w:color w:val="000000"/>
                <w:sz w:val="16"/>
                <w:szCs w:val="16"/>
              </w:rPr>
            </w:pPr>
            <w:r w:rsidRPr="008D777B">
              <w:rPr>
                <w:color w:val="000000"/>
                <w:sz w:val="16"/>
              </w:rPr>
              <w:t>106.176,2</w:t>
            </w:r>
          </w:p>
        </w:tc>
        <w:tc>
          <w:tcPr>
            <w:tcW w:w="673" w:type="dxa"/>
            <w:tcBorders>
              <w:top w:val="nil"/>
              <w:left w:val="nil"/>
              <w:bottom w:val="single" w:sz="4" w:space="0" w:color="FFFFFF"/>
              <w:right w:val="single" w:sz="4" w:space="0" w:color="auto"/>
            </w:tcBorders>
            <w:shd w:val="clear" w:color="auto" w:fill="auto"/>
            <w:noWrap/>
            <w:vAlign w:val="bottom"/>
            <w:hideMark/>
          </w:tcPr>
          <w:p w14:paraId="1CAECBA5" w14:textId="77777777" w:rsidR="004C78C0" w:rsidRPr="008D777B" w:rsidRDefault="004C78C0" w:rsidP="00654255">
            <w:pPr>
              <w:jc w:val="right"/>
              <w:rPr>
                <w:rFonts w:cstheme="minorHAnsi"/>
                <w:color w:val="000000"/>
                <w:sz w:val="16"/>
                <w:szCs w:val="16"/>
              </w:rPr>
            </w:pPr>
            <w:r w:rsidRPr="008D777B">
              <w:rPr>
                <w:color w:val="000000"/>
                <w:sz w:val="16"/>
              </w:rPr>
              <w:t>-11,6</w:t>
            </w:r>
          </w:p>
        </w:tc>
        <w:tc>
          <w:tcPr>
            <w:tcW w:w="829" w:type="dxa"/>
            <w:tcBorders>
              <w:top w:val="nil"/>
              <w:left w:val="nil"/>
              <w:bottom w:val="single" w:sz="4" w:space="0" w:color="FFFFFF"/>
              <w:right w:val="single" w:sz="4" w:space="0" w:color="FFFFFF"/>
            </w:tcBorders>
            <w:shd w:val="clear" w:color="auto" w:fill="auto"/>
            <w:noWrap/>
            <w:vAlign w:val="bottom"/>
            <w:hideMark/>
          </w:tcPr>
          <w:p w14:paraId="78C731CF" w14:textId="77777777" w:rsidR="004C78C0" w:rsidRPr="008D777B" w:rsidRDefault="004C78C0" w:rsidP="00654255">
            <w:pPr>
              <w:jc w:val="right"/>
              <w:rPr>
                <w:rFonts w:cstheme="minorHAnsi"/>
                <w:color w:val="000000"/>
                <w:sz w:val="16"/>
                <w:szCs w:val="16"/>
              </w:rPr>
            </w:pPr>
            <w:r w:rsidRPr="008D777B">
              <w:rPr>
                <w:color w:val="000000"/>
                <w:sz w:val="16"/>
              </w:rPr>
              <w:t>1,0</w:t>
            </w:r>
          </w:p>
        </w:tc>
        <w:tc>
          <w:tcPr>
            <w:tcW w:w="854" w:type="dxa"/>
            <w:tcBorders>
              <w:top w:val="nil"/>
              <w:left w:val="nil"/>
              <w:bottom w:val="single" w:sz="4" w:space="0" w:color="FFFFFF"/>
              <w:right w:val="single" w:sz="4" w:space="0" w:color="FFFFFF"/>
            </w:tcBorders>
            <w:shd w:val="clear" w:color="auto" w:fill="auto"/>
            <w:noWrap/>
            <w:vAlign w:val="bottom"/>
            <w:hideMark/>
          </w:tcPr>
          <w:p w14:paraId="0CCECD3C" w14:textId="77777777" w:rsidR="004C78C0" w:rsidRPr="008D777B" w:rsidRDefault="004C78C0" w:rsidP="00654255">
            <w:pPr>
              <w:jc w:val="right"/>
              <w:rPr>
                <w:rFonts w:cstheme="minorHAnsi"/>
                <w:color w:val="000000"/>
                <w:sz w:val="16"/>
                <w:szCs w:val="16"/>
              </w:rPr>
            </w:pPr>
            <w:r w:rsidRPr="008D777B">
              <w:rPr>
                <w:color w:val="000000"/>
                <w:sz w:val="16"/>
              </w:rPr>
              <w:t>11.577,5</w:t>
            </w:r>
          </w:p>
        </w:tc>
        <w:tc>
          <w:tcPr>
            <w:tcW w:w="854" w:type="dxa"/>
            <w:tcBorders>
              <w:top w:val="nil"/>
              <w:left w:val="nil"/>
              <w:bottom w:val="single" w:sz="4" w:space="0" w:color="FFFFFF"/>
              <w:right w:val="single" w:sz="4" w:space="0" w:color="FFFFFF"/>
            </w:tcBorders>
            <w:shd w:val="clear" w:color="auto" w:fill="auto"/>
            <w:noWrap/>
            <w:vAlign w:val="bottom"/>
            <w:hideMark/>
          </w:tcPr>
          <w:p w14:paraId="74A43429" w14:textId="77777777" w:rsidR="004C78C0" w:rsidRPr="008D777B" w:rsidRDefault="004C78C0" w:rsidP="00654255">
            <w:pPr>
              <w:jc w:val="right"/>
              <w:rPr>
                <w:rFonts w:cstheme="minorHAnsi"/>
                <w:color w:val="000000"/>
                <w:sz w:val="16"/>
                <w:szCs w:val="16"/>
              </w:rPr>
            </w:pPr>
            <w:r w:rsidRPr="008D777B">
              <w:rPr>
                <w:color w:val="000000"/>
                <w:sz w:val="16"/>
              </w:rPr>
              <w:t>8.929,3</w:t>
            </w:r>
          </w:p>
        </w:tc>
        <w:tc>
          <w:tcPr>
            <w:tcW w:w="673" w:type="dxa"/>
            <w:tcBorders>
              <w:top w:val="nil"/>
              <w:left w:val="nil"/>
              <w:bottom w:val="single" w:sz="4" w:space="0" w:color="FFFFFF"/>
              <w:right w:val="nil"/>
            </w:tcBorders>
            <w:shd w:val="clear" w:color="auto" w:fill="auto"/>
            <w:noWrap/>
            <w:vAlign w:val="bottom"/>
            <w:hideMark/>
          </w:tcPr>
          <w:p w14:paraId="5A720007" w14:textId="77777777" w:rsidR="004C78C0" w:rsidRPr="008D777B" w:rsidRDefault="004C78C0" w:rsidP="00654255">
            <w:pPr>
              <w:jc w:val="right"/>
              <w:rPr>
                <w:rFonts w:cstheme="minorHAnsi"/>
                <w:color w:val="000000"/>
                <w:sz w:val="16"/>
                <w:szCs w:val="16"/>
              </w:rPr>
            </w:pPr>
            <w:r w:rsidRPr="008D777B">
              <w:rPr>
                <w:color w:val="000000"/>
                <w:sz w:val="16"/>
              </w:rPr>
              <w:t>-22,9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278058D" w14:textId="77777777" w:rsidR="004C78C0" w:rsidRPr="008D777B" w:rsidRDefault="004C78C0" w:rsidP="00654255">
            <w:pPr>
              <w:jc w:val="right"/>
              <w:rPr>
                <w:rFonts w:cstheme="minorHAnsi"/>
                <w:color w:val="000000"/>
                <w:sz w:val="16"/>
                <w:szCs w:val="16"/>
              </w:rPr>
            </w:pPr>
            <w:r w:rsidRPr="008D777B">
              <w:rPr>
                <w:color w:val="000000"/>
                <w:sz w:val="16"/>
              </w:rPr>
              <w:t>8,4</w:t>
            </w:r>
          </w:p>
        </w:tc>
      </w:tr>
      <w:tr w:rsidR="004C78C0" w:rsidRPr="008D777B" w14:paraId="45861D74"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A98DC56" w14:textId="77777777" w:rsidR="004C78C0" w:rsidRPr="008D777B" w:rsidRDefault="004C78C0" w:rsidP="00654255">
            <w:pPr>
              <w:rPr>
                <w:rFonts w:cstheme="minorHAnsi"/>
                <w:color w:val="000000"/>
                <w:sz w:val="16"/>
                <w:szCs w:val="16"/>
              </w:rPr>
            </w:pPr>
            <w:r w:rsidRPr="008D777B">
              <w:rPr>
                <w:color w:val="000000"/>
                <w:sz w:val="16"/>
              </w:rPr>
              <w:t>Irlande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5499FD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486CC35" w14:textId="77777777" w:rsidR="004C78C0" w:rsidRPr="008D777B" w:rsidRDefault="004C78C0" w:rsidP="00654255">
            <w:pPr>
              <w:jc w:val="right"/>
              <w:rPr>
                <w:rFonts w:cstheme="minorHAnsi"/>
                <w:color w:val="000000"/>
                <w:sz w:val="16"/>
                <w:szCs w:val="16"/>
              </w:rPr>
            </w:pPr>
            <w:r w:rsidRPr="008D777B">
              <w:rPr>
                <w:color w:val="000000"/>
                <w:sz w:val="16"/>
              </w:rPr>
              <w:t>1.510,1</w:t>
            </w:r>
          </w:p>
        </w:tc>
        <w:tc>
          <w:tcPr>
            <w:tcW w:w="990" w:type="dxa"/>
            <w:tcBorders>
              <w:top w:val="nil"/>
              <w:left w:val="nil"/>
              <w:bottom w:val="single" w:sz="4" w:space="0" w:color="FFFFFF"/>
              <w:right w:val="single" w:sz="4" w:space="0" w:color="FFFFFF"/>
            </w:tcBorders>
            <w:shd w:val="clear" w:color="auto" w:fill="auto"/>
            <w:vAlign w:val="bottom"/>
            <w:hideMark/>
          </w:tcPr>
          <w:p w14:paraId="3254EED0" w14:textId="77777777" w:rsidR="004C78C0" w:rsidRPr="008D777B" w:rsidRDefault="004C78C0" w:rsidP="00654255">
            <w:pPr>
              <w:jc w:val="right"/>
              <w:rPr>
                <w:rFonts w:cstheme="minorHAnsi"/>
                <w:color w:val="000000"/>
                <w:sz w:val="16"/>
                <w:szCs w:val="16"/>
              </w:rPr>
            </w:pPr>
            <w:r w:rsidRPr="008D777B">
              <w:rPr>
                <w:color w:val="000000"/>
                <w:sz w:val="16"/>
              </w:rPr>
              <w:t>479,0</w:t>
            </w:r>
          </w:p>
        </w:tc>
        <w:tc>
          <w:tcPr>
            <w:tcW w:w="673" w:type="dxa"/>
            <w:tcBorders>
              <w:top w:val="nil"/>
              <w:left w:val="nil"/>
              <w:bottom w:val="single" w:sz="4" w:space="0" w:color="FFFFFF"/>
              <w:right w:val="single" w:sz="4" w:space="0" w:color="auto"/>
            </w:tcBorders>
            <w:shd w:val="clear" w:color="auto" w:fill="auto"/>
            <w:noWrap/>
            <w:vAlign w:val="bottom"/>
            <w:hideMark/>
          </w:tcPr>
          <w:p w14:paraId="7F5A6811" w14:textId="77777777" w:rsidR="004C78C0" w:rsidRPr="008D777B" w:rsidRDefault="004C78C0" w:rsidP="00654255">
            <w:pPr>
              <w:jc w:val="right"/>
              <w:rPr>
                <w:rFonts w:cstheme="minorHAnsi"/>
                <w:color w:val="000000"/>
                <w:sz w:val="16"/>
                <w:szCs w:val="16"/>
              </w:rPr>
            </w:pPr>
            <w:r w:rsidRPr="008D777B">
              <w:rPr>
                <w:color w:val="000000"/>
                <w:sz w:val="16"/>
              </w:rPr>
              <w:t>-68,3</w:t>
            </w:r>
          </w:p>
        </w:tc>
        <w:tc>
          <w:tcPr>
            <w:tcW w:w="829" w:type="dxa"/>
            <w:tcBorders>
              <w:top w:val="nil"/>
              <w:left w:val="nil"/>
              <w:bottom w:val="single" w:sz="4" w:space="0" w:color="FFFFFF"/>
              <w:right w:val="single" w:sz="4" w:space="0" w:color="FFFFFF"/>
            </w:tcBorders>
            <w:shd w:val="clear" w:color="auto" w:fill="auto"/>
            <w:noWrap/>
            <w:vAlign w:val="bottom"/>
            <w:hideMark/>
          </w:tcPr>
          <w:p w14:paraId="4A575175" w14:textId="77777777" w:rsidR="004C78C0" w:rsidRPr="008D777B" w:rsidRDefault="004C78C0" w:rsidP="00654255">
            <w:pPr>
              <w:jc w:val="right"/>
              <w:rPr>
                <w:rFonts w:cstheme="minorHAnsi"/>
                <w:color w:val="000000"/>
                <w:sz w:val="16"/>
                <w:szCs w:val="16"/>
              </w:rPr>
            </w:pPr>
            <w:r w:rsidRPr="008D777B">
              <w:rPr>
                <w:color w:val="000000"/>
                <w:sz w:val="16"/>
              </w:rPr>
              <w:t>1,0</w:t>
            </w:r>
          </w:p>
        </w:tc>
        <w:tc>
          <w:tcPr>
            <w:tcW w:w="854" w:type="dxa"/>
            <w:tcBorders>
              <w:top w:val="nil"/>
              <w:left w:val="nil"/>
              <w:bottom w:val="single" w:sz="4" w:space="0" w:color="FFFFFF"/>
              <w:right w:val="single" w:sz="4" w:space="0" w:color="FFFFFF"/>
            </w:tcBorders>
            <w:shd w:val="clear" w:color="auto" w:fill="auto"/>
            <w:noWrap/>
            <w:vAlign w:val="bottom"/>
            <w:hideMark/>
          </w:tcPr>
          <w:p w14:paraId="12DCC3F5" w14:textId="77777777" w:rsidR="004C78C0" w:rsidRPr="008D777B" w:rsidRDefault="004C78C0" w:rsidP="00654255">
            <w:pPr>
              <w:jc w:val="right"/>
              <w:rPr>
                <w:rFonts w:cstheme="minorHAnsi"/>
                <w:color w:val="000000"/>
                <w:sz w:val="16"/>
                <w:szCs w:val="16"/>
              </w:rPr>
            </w:pPr>
            <w:r w:rsidRPr="008D777B">
              <w:rPr>
                <w:color w:val="000000"/>
                <w:sz w:val="16"/>
              </w:rPr>
              <w:t>8.215,1</w:t>
            </w:r>
          </w:p>
        </w:tc>
        <w:tc>
          <w:tcPr>
            <w:tcW w:w="854" w:type="dxa"/>
            <w:tcBorders>
              <w:top w:val="nil"/>
              <w:left w:val="nil"/>
              <w:bottom w:val="single" w:sz="4" w:space="0" w:color="FFFFFF"/>
              <w:right w:val="single" w:sz="4" w:space="0" w:color="FFFFFF"/>
            </w:tcBorders>
            <w:shd w:val="clear" w:color="auto" w:fill="auto"/>
            <w:noWrap/>
            <w:vAlign w:val="bottom"/>
            <w:hideMark/>
          </w:tcPr>
          <w:p w14:paraId="3A56484C" w14:textId="77777777" w:rsidR="004C78C0" w:rsidRPr="008D777B" w:rsidRDefault="004C78C0" w:rsidP="00654255">
            <w:pPr>
              <w:jc w:val="right"/>
              <w:rPr>
                <w:rFonts w:cstheme="minorHAnsi"/>
                <w:color w:val="000000"/>
                <w:sz w:val="16"/>
                <w:szCs w:val="16"/>
              </w:rPr>
            </w:pPr>
            <w:r w:rsidRPr="008D777B">
              <w:rPr>
                <w:color w:val="000000"/>
                <w:sz w:val="16"/>
              </w:rPr>
              <w:t>8.614,4</w:t>
            </w:r>
          </w:p>
        </w:tc>
        <w:tc>
          <w:tcPr>
            <w:tcW w:w="673" w:type="dxa"/>
            <w:tcBorders>
              <w:top w:val="nil"/>
              <w:left w:val="nil"/>
              <w:bottom w:val="single" w:sz="4" w:space="0" w:color="FFFFFF"/>
              <w:right w:val="nil"/>
            </w:tcBorders>
            <w:shd w:val="clear" w:color="auto" w:fill="auto"/>
            <w:noWrap/>
            <w:vAlign w:val="bottom"/>
            <w:hideMark/>
          </w:tcPr>
          <w:p w14:paraId="1B207197" w14:textId="77777777" w:rsidR="004C78C0" w:rsidRPr="008D777B" w:rsidRDefault="004C78C0" w:rsidP="00654255">
            <w:pPr>
              <w:jc w:val="right"/>
              <w:rPr>
                <w:rFonts w:cstheme="minorHAnsi"/>
                <w:color w:val="000000"/>
                <w:sz w:val="16"/>
                <w:szCs w:val="16"/>
              </w:rPr>
            </w:pPr>
            <w:r w:rsidRPr="008D777B">
              <w:rPr>
                <w:color w:val="000000"/>
                <w:sz w:val="16"/>
              </w:rPr>
              <w:t>4,9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6B26980" w14:textId="77777777" w:rsidR="004C78C0" w:rsidRPr="008D777B" w:rsidRDefault="004C78C0" w:rsidP="00654255">
            <w:pPr>
              <w:jc w:val="right"/>
              <w:rPr>
                <w:rFonts w:cstheme="minorHAnsi"/>
                <w:color w:val="000000"/>
                <w:sz w:val="16"/>
                <w:szCs w:val="16"/>
              </w:rPr>
            </w:pPr>
            <w:r w:rsidRPr="008D777B">
              <w:rPr>
                <w:color w:val="000000"/>
                <w:sz w:val="16"/>
              </w:rPr>
              <w:t>1.798,6</w:t>
            </w:r>
          </w:p>
        </w:tc>
      </w:tr>
      <w:tr w:rsidR="004C78C0" w:rsidRPr="008D777B" w14:paraId="676ECE7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524CFB2" w14:textId="77777777" w:rsidR="004C78C0" w:rsidRPr="008D777B" w:rsidRDefault="004C78C0" w:rsidP="00654255">
            <w:pPr>
              <w:rPr>
                <w:rFonts w:cstheme="minorHAnsi"/>
                <w:color w:val="000000"/>
                <w:sz w:val="16"/>
                <w:szCs w:val="16"/>
              </w:rPr>
            </w:pPr>
            <w:r w:rsidRPr="008D777B">
              <w:rPr>
                <w:color w:val="000000"/>
                <w:sz w:val="16"/>
              </w:rPr>
              <w:t>Autriche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040B05D"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990" w:type="dxa"/>
            <w:tcBorders>
              <w:top w:val="nil"/>
              <w:left w:val="nil"/>
              <w:bottom w:val="single" w:sz="4" w:space="0" w:color="FFFFFF"/>
              <w:right w:val="single" w:sz="4" w:space="0" w:color="FFFFFF"/>
            </w:tcBorders>
            <w:shd w:val="clear" w:color="auto" w:fill="auto"/>
            <w:vAlign w:val="bottom"/>
            <w:hideMark/>
          </w:tcPr>
          <w:p w14:paraId="3CBAAB50" w14:textId="77777777" w:rsidR="004C78C0" w:rsidRPr="008D777B" w:rsidRDefault="004C78C0" w:rsidP="00654255">
            <w:pPr>
              <w:jc w:val="right"/>
              <w:rPr>
                <w:rFonts w:cstheme="minorHAnsi"/>
                <w:color w:val="000000"/>
                <w:sz w:val="16"/>
                <w:szCs w:val="16"/>
              </w:rPr>
            </w:pPr>
            <w:r w:rsidRPr="008D777B">
              <w:rPr>
                <w:color w:val="000000"/>
                <w:sz w:val="16"/>
              </w:rPr>
              <w:t>5.792,4</w:t>
            </w:r>
          </w:p>
        </w:tc>
        <w:tc>
          <w:tcPr>
            <w:tcW w:w="990" w:type="dxa"/>
            <w:tcBorders>
              <w:top w:val="nil"/>
              <w:left w:val="nil"/>
              <w:bottom w:val="single" w:sz="4" w:space="0" w:color="FFFFFF"/>
              <w:right w:val="single" w:sz="4" w:space="0" w:color="FFFFFF"/>
            </w:tcBorders>
            <w:shd w:val="clear" w:color="auto" w:fill="auto"/>
            <w:vAlign w:val="bottom"/>
            <w:hideMark/>
          </w:tcPr>
          <w:p w14:paraId="604AF97F" w14:textId="77777777" w:rsidR="004C78C0" w:rsidRPr="008D777B" w:rsidRDefault="004C78C0" w:rsidP="00654255">
            <w:pPr>
              <w:jc w:val="right"/>
              <w:rPr>
                <w:rFonts w:cstheme="minorHAnsi"/>
                <w:color w:val="000000"/>
                <w:sz w:val="16"/>
                <w:szCs w:val="16"/>
              </w:rPr>
            </w:pPr>
            <w:r w:rsidRPr="008D777B">
              <w:rPr>
                <w:color w:val="000000"/>
                <w:sz w:val="16"/>
              </w:rPr>
              <w:t>2.906,1</w:t>
            </w:r>
          </w:p>
        </w:tc>
        <w:tc>
          <w:tcPr>
            <w:tcW w:w="673" w:type="dxa"/>
            <w:tcBorders>
              <w:top w:val="nil"/>
              <w:left w:val="nil"/>
              <w:bottom w:val="single" w:sz="4" w:space="0" w:color="FFFFFF"/>
              <w:right w:val="single" w:sz="4" w:space="0" w:color="auto"/>
            </w:tcBorders>
            <w:shd w:val="clear" w:color="auto" w:fill="auto"/>
            <w:noWrap/>
            <w:vAlign w:val="bottom"/>
            <w:hideMark/>
          </w:tcPr>
          <w:p w14:paraId="37526A62" w14:textId="77777777" w:rsidR="004C78C0" w:rsidRPr="008D777B" w:rsidRDefault="004C78C0" w:rsidP="00654255">
            <w:pPr>
              <w:jc w:val="right"/>
              <w:rPr>
                <w:rFonts w:cstheme="minorHAnsi"/>
                <w:color w:val="000000"/>
                <w:sz w:val="16"/>
                <w:szCs w:val="16"/>
              </w:rPr>
            </w:pPr>
            <w:r w:rsidRPr="008D777B">
              <w:rPr>
                <w:color w:val="000000"/>
                <w:sz w:val="16"/>
              </w:rPr>
              <w:t>-49,8</w:t>
            </w:r>
          </w:p>
        </w:tc>
        <w:tc>
          <w:tcPr>
            <w:tcW w:w="829" w:type="dxa"/>
            <w:tcBorders>
              <w:top w:val="nil"/>
              <w:left w:val="nil"/>
              <w:bottom w:val="single" w:sz="4" w:space="0" w:color="FFFFFF"/>
              <w:right w:val="single" w:sz="4" w:space="0" w:color="FFFFFF"/>
            </w:tcBorders>
            <w:shd w:val="clear" w:color="auto" w:fill="auto"/>
            <w:noWrap/>
            <w:vAlign w:val="bottom"/>
            <w:hideMark/>
          </w:tcPr>
          <w:p w14:paraId="6FC804FF" w14:textId="77777777" w:rsidR="004C78C0" w:rsidRPr="008D777B" w:rsidRDefault="004C78C0" w:rsidP="00654255">
            <w:pPr>
              <w:jc w:val="right"/>
              <w:rPr>
                <w:rFonts w:cstheme="minorHAnsi"/>
                <w:color w:val="000000"/>
                <w:sz w:val="16"/>
                <w:szCs w:val="16"/>
              </w:rPr>
            </w:pPr>
            <w:r w:rsidRPr="008D777B">
              <w:rPr>
                <w:color w:val="000000"/>
                <w:sz w:val="16"/>
              </w:rPr>
              <w:t>0,8</w:t>
            </w:r>
          </w:p>
        </w:tc>
        <w:tc>
          <w:tcPr>
            <w:tcW w:w="854" w:type="dxa"/>
            <w:tcBorders>
              <w:top w:val="nil"/>
              <w:left w:val="nil"/>
              <w:bottom w:val="single" w:sz="4" w:space="0" w:color="FFFFFF"/>
              <w:right w:val="single" w:sz="4" w:space="0" w:color="FFFFFF"/>
            </w:tcBorders>
            <w:shd w:val="clear" w:color="auto" w:fill="auto"/>
            <w:noWrap/>
            <w:vAlign w:val="bottom"/>
            <w:hideMark/>
          </w:tcPr>
          <w:p w14:paraId="67748AD8" w14:textId="77777777" w:rsidR="004C78C0" w:rsidRPr="008D777B" w:rsidRDefault="004C78C0" w:rsidP="00654255">
            <w:pPr>
              <w:jc w:val="right"/>
              <w:rPr>
                <w:rFonts w:cstheme="minorHAnsi"/>
                <w:color w:val="000000"/>
                <w:sz w:val="16"/>
                <w:szCs w:val="16"/>
              </w:rPr>
            </w:pPr>
            <w:r w:rsidRPr="008D777B">
              <w:rPr>
                <w:color w:val="000000"/>
                <w:sz w:val="16"/>
              </w:rPr>
              <w:t>6.788,9</w:t>
            </w:r>
          </w:p>
        </w:tc>
        <w:tc>
          <w:tcPr>
            <w:tcW w:w="854" w:type="dxa"/>
            <w:tcBorders>
              <w:top w:val="nil"/>
              <w:left w:val="nil"/>
              <w:bottom w:val="single" w:sz="4" w:space="0" w:color="FFFFFF"/>
              <w:right w:val="single" w:sz="4" w:space="0" w:color="FFFFFF"/>
            </w:tcBorders>
            <w:shd w:val="clear" w:color="auto" w:fill="auto"/>
            <w:noWrap/>
            <w:vAlign w:val="bottom"/>
            <w:hideMark/>
          </w:tcPr>
          <w:p w14:paraId="7CFF62FF" w14:textId="77777777" w:rsidR="004C78C0" w:rsidRPr="008D777B" w:rsidRDefault="004C78C0" w:rsidP="00654255">
            <w:pPr>
              <w:jc w:val="right"/>
              <w:rPr>
                <w:rFonts w:cstheme="minorHAnsi"/>
                <w:color w:val="000000"/>
                <w:sz w:val="16"/>
                <w:szCs w:val="16"/>
              </w:rPr>
            </w:pPr>
            <w:r w:rsidRPr="008D777B">
              <w:rPr>
                <w:color w:val="000000"/>
                <w:sz w:val="16"/>
              </w:rPr>
              <w:t>6.530,7</w:t>
            </w:r>
          </w:p>
        </w:tc>
        <w:tc>
          <w:tcPr>
            <w:tcW w:w="673" w:type="dxa"/>
            <w:tcBorders>
              <w:top w:val="nil"/>
              <w:left w:val="nil"/>
              <w:bottom w:val="single" w:sz="4" w:space="0" w:color="FFFFFF"/>
              <w:right w:val="nil"/>
            </w:tcBorders>
            <w:shd w:val="clear" w:color="auto" w:fill="auto"/>
            <w:noWrap/>
            <w:vAlign w:val="bottom"/>
            <w:hideMark/>
          </w:tcPr>
          <w:p w14:paraId="6C85CB5E" w14:textId="77777777" w:rsidR="004C78C0" w:rsidRPr="008D777B" w:rsidRDefault="004C78C0" w:rsidP="00654255">
            <w:pPr>
              <w:jc w:val="right"/>
              <w:rPr>
                <w:rFonts w:cstheme="minorHAnsi"/>
                <w:color w:val="000000"/>
                <w:sz w:val="16"/>
                <w:szCs w:val="16"/>
              </w:rPr>
            </w:pPr>
            <w:r w:rsidRPr="008D777B">
              <w:rPr>
                <w:color w:val="000000"/>
                <w:sz w:val="16"/>
              </w:rPr>
              <w:t>-3,8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3D7C35E" w14:textId="77777777" w:rsidR="004C78C0" w:rsidRPr="008D777B" w:rsidRDefault="004C78C0" w:rsidP="00654255">
            <w:pPr>
              <w:jc w:val="right"/>
              <w:rPr>
                <w:rFonts w:cstheme="minorHAnsi"/>
                <w:color w:val="000000"/>
                <w:sz w:val="16"/>
                <w:szCs w:val="16"/>
              </w:rPr>
            </w:pPr>
            <w:r w:rsidRPr="008D777B">
              <w:rPr>
                <w:color w:val="000000"/>
                <w:sz w:val="16"/>
              </w:rPr>
              <w:t>224,7</w:t>
            </w:r>
          </w:p>
        </w:tc>
      </w:tr>
      <w:tr w:rsidR="004C78C0" w:rsidRPr="008D777B" w14:paraId="2F4950A5"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0F41CA7" w14:textId="77777777" w:rsidR="004C78C0" w:rsidRPr="008D777B" w:rsidRDefault="004C78C0" w:rsidP="00654255">
            <w:pPr>
              <w:rPr>
                <w:rFonts w:cstheme="minorHAnsi"/>
                <w:color w:val="000000"/>
                <w:sz w:val="16"/>
                <w:szCs w:val="16"/>
              </w:rPr>
            </w:pPr>
            <w:r w:rsidRPr="008D777B">
              <w:rPr>
                <w:color w:val="000000"/>
                <w:sz w:val="16"/>
              </w:rPr>
              <w:t>Portugal</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FFBEF96"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990" w:type="dxa"/>
            <w:tcBorders>
              <w:top w:val="nil"/>
              <w:left w:val="nil"/>
              <w:bottom w:val="single" w:sz="4" w:space="0" w:color="FFFFFF"/>
              <w:right w:val="single" w:sz="4" w:space="0" w:color="FFFFFF"/>
            </w:tcBorders>
            <w:shd w:val="clear" w:color="auto" w:fill="auto"/>
            <w:vAlign w:val="bottom"/>
            <w:hideMark/>
          </w:tcPr>
          <w:p w14:paraId="0F231AD2" w14:textId="77777777" w:rsidR="004C78C0" w:rsidRPr="008D777B" w:rsidRDefault="004C78C0" w:rsidP="00654255">
            <w:pPr>
              <w:jc w:val="right"/>
              <w:rPr>
                <w:rFonts w:cstheme="minorHAnsi"/>
                <w:color w:val="000000"/>
                <w:sz w:val="16"/>
                <w:szCs w:val="16"/>
              </w:rPr>
            </w:pPr>
            <w:r w:rsidRPr="008D777B">
              <w:rPr>
                <w:color w:val="000000"/>
                <w:sz w:val="16"/>
              </w:rPr>
              <w:t>5.634,2</w:t>
            </w:r>
          </w:p>
        </w:tc>
        <w:tc>
          <w:tcPr>
            <w:tcW w:w="990" w:type="dxa"/>
            <w:tcBorders>
              <w:top w:val="nil"/>
              <w:left w:val="nil"/>
              <w:bottom w:val="single" w:sz="4" w:space="0" w:color="FFFFFF"/>
              <w:right w:val="single" w:sz="4" w:space="0" w:color="FFFFFF"/>
            </w:tcBorders>
            <w:shd w:val="clear" w:color="auto" w:fill="auto"/>
            <w:vAlign w:val="bottom"/>
            <w:hideMark/>
          </w:tcPr>
          <w:p w14:paraId="50C8AF26" w14:textId="77777777" w:rsidR="004C78C0" w:rsidRPr="008D777B" w:rsidRDefault="004C78C0" w:rsidP="00654255">
            <w:pPr>
              <w:jc w:val="right"/>
              <w:rPr>
                <w:rFonts w:cstheme="minorHAnsi"/>
                <w:color w:val="000000"/>
                <w:sz w:val="16"/>
                <w:szCs w:val="16"/>
              </w:rPr>
            </w:pPr>
            <w:r w:rsidRPr="008D777B">
              <w:rPr>
                <w:color w:val="000000"/>
                <w:sz w:val="16"/>
              </w:rPr>
              <w:t>3.479,7</w:t>
            </w:r>
          </w:p>
        </w:tc>
        <w:tc>
          <w:tcPr>
            <w:tcW w:w="673" w:type="dxa"/>
            <w:tcBorders>
              <w:top w:val="nil"/>
              <w:left w:val="nil"/>
              <w:bottom w:val="single" w:sz="4" w:space="0" w:color="FFFFFF"/>
              <w:right w:val="single" w:sz="4" w:space="0" w:color="auto"/>
            </w:tcBorders>
            <w:shd w:val="clear" w:color="auto" w:fill="auto"/>
            <w:noWrap/>
            <w:vAlign w:val="bottom"/>
            <w:hideMark/>
          </w:tcPr>
          <w:p w14:paraId="3DF41BDF" w14:textId="77777777" w:rsidR="004C78C0" w:rsidRPr="008D777B" w:rsidRDefault="004C78C0" w:rsidP="00654255">
            <w:pPr>
              <w:jc w:val="right"/>
              <w:rPr>
                <w:rFonts w:cstheme="minorHAnsi"/>
                <w:color w:val="000000"/>
                <w:sz w:val="16"/>
                <w:szCs w:val="16"/>
              </w:rPr>
            </w:pPr>
            <w:r w:rsidRPr="008D777B">
              <w:rPr>
                <w:color w:val="000000"/>
                <w:sz w:val="16"/>
              </w:rPr>
              <w:t>-38,2</w:t>
            </w:r>
          </w:p>
        </w:tc>
        <w:tc>
          <w:tcPr>
            <w:tcW w:w="829" w:type="dxa"/>
            <w:tcBorders>
              <w:top w:val="nil"/>
              <w:left w:val="nil"/>
              <w:bottom w:val="single" w:sz="4" w:space="0" w:color="FFFFFF"/>
              <w:right w:val="single" w:sz="4" w:space="0" w:color="FFFFFF"/>
            </w:tcBorders>
            <w:shd w:val="clear" w:color="auto" w:fill="auto"/>
            <w:noWrap/>
            <w:vAlign w:val="bottom"/>
            <w:hideMark/>
          </w:tcPr>
          <w:p w14:paraId="58DE1666" w14:textId="77777777" w:rsidR="004C78C0" w:rsidRPr="008D777B" w:rsidRDefault="004C78C0" w:rsidP="00654255">
            <w:pPr>
              <w:jc w:val="right"/>
              <w:rPr>
                <w:rFonts w:cstheme="minorHAnsi"/>
                <w:color w:val="000000"/>
                <w:sz w:val="16"/>
                <w:szCs w:val="16"/>
              </w:rPr>
            </w:pPr>
            <w:r w:rsidRPr="008D777B">
              <w:rPr>
                <w:color w:val="000000"/>
                <w:sz w:val="16"/>
              </w:rPr>
              <w:t>0,5</w:t>
            </w:r>
          </w:p>
        </w:tc>
        <w:tc>
          <w:tcPr>
            <w:tcW w:w="854" w:type="dxa"/>
            <w:tcBorders>
              <w:top w:val="nil"/>
              <w:left w:val="nil"/>
              <w:bottom w:val="single" w:sz="4" w:space="0" w:color="FFFFFF"/>
              <w:right w:val="single" w:sz="4" w:space="0" w:color="FFFFFF"/>
            </w:tcBorders>
            <w:shd w:val="clear" w:color="auto" w:fill="auto"/>
            <w:noWrap/>
            <w:vAlign w:val="bottom"/>
            <w:hideMark/>
          </w:tcPr>
          <w:p w14:paraId="5B0E1F78" w14:textId="77777777" w:rsidR="004C78C0" w:rsidRPr="008D777B" w:rsidRDefault="004C78C0" w:rsidP="00654255">
            <w:pPr>
              <w:jc w:val="right"/>
              <w:rPr>
                <w:rFonts w:cstheme="minorHAnsi"/>
                <w:color w:val="000000"/>
                <w:sz w:val="16"/>
                <w:szCs w:val="16"/>
              </w:rPr>
            </w:pPr>
            <w:r w:rsidRPr="008D777B">
              <w:rPr>
                <w:color w:val="000000"/>
                <w:sz w:val="16"/>
              </w:rPr>
              <w:t>5.139,8</w:t>
            </w:r>
          </w:p>
        </w:tc>
        <w:tc>
          <w:tcPr>
            <w:tcW w:w="854" w:type="dxa"/>
            <w:tcBorders>
              <w:top w:val="nil"/>
              <w:left w:val="nil"/>
              <w:bottom w:val="single" w:sz="4" w:space="0" w:color="FFFFFF"/>
              <w:right w:val="single" w:sz="4" w:space="0" w:color="FFFFFF"/>
            </w:tcBorders>
            <w:shd w:val="clear" w:color="auto" w:fill="auto"/>
            <w:noWrap/>
            <w:vAlign w:val="bottom"/>
            <w:hideMark/>
          </w:tcPr>
          <w:p w14:paraId="47DA2552" w14:textId="77777777" w:rsidR="004C78C0" w:rsidRPr="008D777B" w:rsidRDefault="004C78C0" w:rsidP="00654255">
            <w:pPr>
              <w:jc w:val="right"/>
              <w:rPr>
                <w:rFonts w:cstheme="minorHAnsi"/>
                <w:color w:val="000000"/>
                <w:sz w:val="16"/>
                <w:szCs w:val="16"/>
              </w:rPr>
            </w:pPr>
            <w:r w:rsidRPr="008D777B">
              <w:rPr>
                <w:color w:val="000000"/>
                <w:sz w:val="16"/>
              </w:rPr>
              <w:t>4.687,1</w:t>
            </w:r>
          </w:p>
        </w:tc>
        <w:tc>
          <w:tcPr>
            <w:tcW w:w="673" w:type="dxa"/>
            <w:tcBorders>
              <w:top w:val="nil"/>
              <w:left w:val="nil"/>
              <w:bottom w:val="single" w:sz="4" w:space="0" w:color="FFFFFF"/>
              <w:right w:val="nil"/>
            </w:tcBorders>
            <w:shd w:val="clear" w:color="auto" w:fill="auto"/>
            <w:noWrap/>
            <w:vAlign w:val="bottom"/>
            <w:hideMark/>
          </w:tcPr>
          <w:p w14:paraId="16D695C1" w14:textId="77777777" w:rsidR="004C78C0" w:rsidRPr="008D777B" w:rsidRDefault="004C78C0" w:rsidP="00654255">
            <w:pPr>
              <w:jc w:val="right"/>
              <w:rPr>
                <w:rFonts w:cstheme="minorHAnsi"/>
                <w:color w:val="000000"/>
                <w:sz w:val="16"/>
                <w:szCs w:val="16"/>
              </w:rPr>
            </w:pPr>
            <w:r w:rsidRPr="008D777B">
              <w:rPr>
                <w:color w:val="000000"/>
                <w:sz w:val="16"/>
              </w:rPr>
              <w:t>-8,8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13BD438" w14:textId="77777777" w:rsidR="004C78C0" w:rsidRPr="008D777B" w:rsidRDefault="004C78C0" w:rsidP="00654255">
            <w:pPr>
              <w:jc w:val="right"/>
              <w:rPr>
                <w:rFonts w:cstheme="minorHAnsi"/>
                <w:color w:val="000000"/>
                <w:sz w:val="16"/>
                <w:szCs w:val="16"/>
              </w:rPr>
            </w:pPr>
            <w:r w:rsidRPr="008D777B">
              <w:rPr>
                <w:color w:val="000000"/>
                <w:sz w:val="16"/>
              </w:rPr>
              <w:t>134,7</w:t>
            </w:r>
          </w:p>
        </w:tc>
      </w:tr>
      <w:tr w:rsidR="004C78C0" w:rsidRPr="008D777B" w14:paraId="444103A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AA79DCA" w14:textId="77777777" w:rsidR="004C78C0" w:rsidRPr="008D777B" w:rsidRDefault="004C78C0" w:rsidP="00654255">
            <w:pPr>
              <w:rPr>
                <w:rFonts w:cstheme="minorHAnsi"/>
                <w:color w:val="000000"/>
                <w:sz w:val="16"/>
                <w:szCs w:val="16"/>
              </w:rPr>
            </w:pPr>
            <w:r w:rsidRPr="008D777B">
              <w:rPr>
                <w:color w:val="000000"/>
                <w:sz w:val="16"/>
              </w:rPr>
              <w:t>Suède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B5D0BAC" w14:textId="77777777" w:rsidR="004C78C0" w:rsidRPr="008D777B" w:rsidRDefault="004C78C0" w:rsidP="00654255">
            <w:pPr>
              <w:jc w:val="right"/>
              <w:rPr>
                <w:rFonts w:cstheme="minorHAnsi"/>
                <w:color w:val="000000"/>
                <w:sz w:val="16"/>
                <w:szCs w:val="16"/>
              </w:rPr>
            </w:pPr>
            <w:r w:rsidRPr="008D777B">
              <w:rPr>
                <w:color w:val="000000"/>
                <w:sz w:val="16"/>
              </w:rPr>
              <w:t>1,2</w:t>
            </w:r>
          </w:p>
        </w:tc>
        <w:tc>
          <w:tcPr>
            <w:tcW w:w="990" w:type="dxa"/>
            <w:tcBorders>
              <w:top w:val="nil"/>
              <w:left w:val="nil"/>
              <w:bottom w:val="single" w:sz="4" w:space="0" w:color="FFFFFF"/>
              <w:right w:val="single" w:sz="4" w:space="0" w:color="FFFFFF"/>
            </w:tcBorders>
            <w:shd w:val="clear" w:color="auto" w:fill="auto"/>
            <w:vAlign w:val="bottom"/>
            <w:hideMark/>
          </w:tcPr>
          <w:p w14:paraId="3B95B5A7" w14:textId="77777777" w:rsidR="004C78C0" w:rsidRPr="008D777B" w:rsidRDefault="004C78C0" w:rsidP="00654255">
            <w:pPr>
              <w:jc w:val="right"/>
              <w:rPr>
                <w:rFonts w:cstheme="minorHAnsi"/>
                <w:color w:val="000000"/>
                <w:sz w:val="16"/>
                <w:szCs w:val="16"/>
              </w:rPr>
            </w:pPr>
            <w:r w:rsidRPr="008D777B">
              <w:rPr>
                <w:color w:val="000000"/>
                <w:sz w:val="16"/>
              </w:rPr>
              <w:t>22.152,9</w:t>
            </w:r>
          </w:p>
        </w:tc>
        <w:tc>
          <w:tcPr>
            <w:tcW w:w="990" w:type="dxa"/>
            <w:tcBorders>
              <w:top w:val="nil"/>
              <w:left w:val="nil"/>
              <w:bottom w:val="single" w:sz="4" w:space="0" w:color="FFFFFF"/>
              <w:right w:val="single" w:sz="4" w:space="0" w:color="FFFFFF"/>
            </w:tcBorders>
            <w:shd w:val="clear" w:color="auto" w:fill="auto"/>
            <w:vAlign w:val="bottom"/>
            <w:hideMark/>
          </w:tcPr>
          <w:p w14:paraId="79669E5B" w14:textId="77777777" w:rsidR="004C78C0" w:rsidRPr="008D777B" w:rsidRDefault="004C78C0" w:rsidP="00654255">
            <w:pPr>
              <w:jc w:val="right"/>
              <w:rPr>
                <w:rFonts w:cstheme="minorHAnsi"/>
                <w:color w:val="000000"/>
                <w:sz w:val="16"/>
                <w:szCs w:val="16"/>
              </w:rPr>
            </w:pPr>
            <w:r w:rsidRPr="008D777B">
              <w:rPr>
                <w:color w:val="000000"/>
                <w:sz w:val="16"/>
              </w:rPr>
              <w:t>17.354,5</w:t>
            </w:r>
          </w:p>
        </w:tc>
        <w:tc>
          <w:tcPr>
            <w:tcW w:w="673" w:type="dxa"/>
            <w:tcBorders>
              <w:top w:val="nil"/>
              <w:left w:val="nil"/>
              <w:bottom w:val="single" w:sz="4" w:space="0" w:color="FFFFFF"/>
              <w:right w:val="single" w:sz="4" w:space="0" w:color="auto"/>
            </w:tcBorders>
            <w:shd w:val="clear" w:color="auto" w:fill="auto"/>
            <w:noWrap/>
            <w:vAlign w:val="bottom"/>
            <w:hideMark/>
          </w:tcPr>
          <w:p w14:paraId="70D60F54" w14:textId="77777777" w:rsidR="004C78C0" w:rsidRPr="008D777B" w:rsidRDefault="004C78C0" w:rsidP="00654255">
            <w:pPr>
              <w:jc w:val="right"/>
              <w:rPr>
                <w:rFonts w:cstheme="minorHAnsi"/>
                <w:color w:val="000000"/>
                <w:sz w:val="16"/>
                <w:szCs w:val="16"/>
              </w:rPr>
            </w:pPr>
            <w:r w:rsidRPr="008D777B">
              <w:rPr>
                <w:color w:val="000000"/>
                <w:sz w:val="16"/>
              </w:rPr>
              <w:t>-21,7</w:t>
            </w:r>
          </w:p>
        </w:tc>
        <w:tc>
          <w:tcPr>
            <w:tcW w:w="829" w:type="dxa"/>
            <w:tcBorders>
              <w:top w:val="nil"/>
              <w:left w:val="nil"/>
              <w:bottom w:val="single" w:sz="4" w:space="0" w:color="FFFFFF"/>
              <w:right w:val="single" w:sz="4" w:space="0" w:color="FFFFFF"/>
            </w:tcBorders>
            <w:shd w:val="clear" w:color="auto" w:fill="auto"/>
            <w:noWrap/>
            <w:vAlign w:val="bottom"/>
            <w:hideMark/>
          </w:tcPr>
          <w:p w14:paraId="5F16F689" w14:textId="77777777" w:rsidR="004C78C0" w:rsidRPr="008D777B" w:rsidRDefault="004C78C0" w:rsidP="00654255">
            <w:pPr>
              <w:jc w:val="right"/>
              <w:rPr>
                <w:rFonts w:cstheme="minorHAnsi"/>
                <w:color w:val="000000"/>
                <w:sz w:val="16"/>
                <w:szCs w:val="16"/>
              </w:rPr>
            </w:pPr>
            <w:r w:rsidRPr="008D777B">
              <w:rPr>
                <w:color w:val="000000"/>
                <w:sz w:val="16"/>
              </w:rPr>
              <w:t>0,5</w:t>
            </w:r>
          </w:p>
        </w:tc>
        <w:tc>
          <w:tcPr>
            <w:tcW w:w="854" w:type="dxa"/>
            <w:tcBorders>
              <w:top w:val="nil"/>
              <w:left w:val="nil"/>
              <w:bottom w:val="single" w:sz="4" w:space="0" w:color="FFFFFF"/>
              <w:right w:val="single" w:sz="4" w:space="0" w:color="FFFFFF"/>
            </w:tcBorders>
            <w:shd w:val="clear" w:color="auto" w:fill="auto"/>
            <w:noWrap/>
            <w:vAlign w:val="bottom"/>
            <w:hideMark/>
          </w:tcPr>
          <w:p w14:paraId="0EFCCAB4" w14:textId="77777777" w:rsidR="004C78C0" w:rsidRPr="008D777B" w:rsidRDefault="004C78C0" w:rsidP="00654255">
            <w:pPr>
              <w:jc w:val="right"/>
              <w:rPr>
                <w:rFonts w:cstheme="minorHAnsi"/>
                <w:color w:val="000000"/>
                <w:sz w:val="16"/>
                <w:szCs w:val="16"/>
              </w:rPr>
            </w:pPr>
            <w:r w:rsidRPr="008D777B">
              <w:rPr>
                <w:color w:val="000000"/>
                <w:sz w:val="16"/>
              </w:rPr>
              <w:t>7.170,5</w:t>
            </w:r>
          </w:p>
        </w:tc>
        <w:tc>
          <w:tcPr>
            <w:tcW w:w="854" w:type="dxa"/>
            <w:tcBorders>
              <w:top w:val="nil"/>
              <w:left w:val="nil"/>
              <w:bottom w:val="single" w:sz="4" w:space="0" w:color="FFFFFF"/>
              <w:right w:val="single" w:sz="4" w:space="0" w:color="FFFFFF"/>
            </w:tcBorders>
            <w:shd w:val="clear" w:color="auto" w:fill="auto"/>
            <w:noWrap/>
            <w:vAlign w:val="bottom"/>
            <w:hideMark/>
          </w:tcPr>
          <w:p w14:paraId="12F90235" w14:textId="77777777" w:rsidR="004C78C0" w:rsidRPr="008D777B" w:rsidRDefault="004C78C0" w:rsidP="00654255">
            <w:pPr>
              <w:jc w:val="right"/>
              <w:rPr>
                <w:rFonts w:cstheme="minorHAnsi"/>
                <w:color w:val="000000"/>
                <w:sz w:val="16"/>
                <w:szCs w:val="16"/>
              </w:rPr>
            </w:pPr>
            <w:r w:rsidRPr="008D777B">
              <w:rPr>
                <w:color w:val="000000"/>
                <w:sz w:val="16"/>
              </w:rPr>
              <w:t>4.674,8</w:t>
            </w:r>
          </w:p>
        </w:tc>
        <w:tc>
          <w:tcPr>
            <w:tcW w:w="673" w:type="dxa"/>
            <w:tcBorders>
              <w:top w:val="nil"/>
              <w:left w:val="nil"/>
              <w:bottom w:val="single" w:sz="4" w:space="0" w:color="FFFFFF"/>
              <w:right w:val="nil"/>
            </w:tcBorders>
            <w:shd w:val="clear" w:color="auto" w:fill="auto"/>
            <w:noWrap/>
            <w:vAlign w:val="bottom"/>
            <w:hideMark/>
          </w:tcPr>
          <w:p w14:paraId="75D6622C" w14:textId="77777777" w:rsidR="004C78C0" w:rsidRPr="008D777B" w:rsidRDefault="004C78C0" w:rsidP="00654255">
            <w:pPr>
              <w:jc w:val="right"/>
              <w:rPr>
                <w:rFonts w:cstheme="minorHAnsi"/>
                <w:color w:val="000000"/>
                <w:sz w:val="16"/>
                <w:szCs w:val="16"/>
              </w:rPr>
            </w:pPr>
            <w:r w:rsidRPr="008D777B">
              <w:rPr>
                <w:color w:val="000000"/>
                <w:sz w:val="16"/>
              </w:rPr>
              <w:t>-34,8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C8137A8" w14:textId="77777777" w:rsidR="004C78C0" w:rsidRPr="008D777B" w:rsidRDefault="004C78C0" w:rsidP="00654255">
            <w:pPr>
              <w:jc w:val="right"/>
              <w:rPr>
                <w:rFonts w:cstheme="minorHAnsi"/>
                <w:color w:val="000000"/>
                <w:sz w:val="16"/>
                <w:szCs w:val="16"/>
              </w:rPr>
            </w:pPr>
            <w:r w:rsidRPr="008D777B">
              <w:rPr>
                <w:color w:val="000000"/>
                <w:sz w:val="16"/>
              </w:rPr>
              <w:t>26,9</w:t>
            </w:r>
          </w:p>
        </w:tc>
      </w:tr>
      <w:tr w:rsidR="004C78C0" w:rsidRPr="008D777B" w14:paraId="72289864"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D369695" w14:textId="77777777" w:rsidR="004C78C0" w:rsidRPr="008D777B" w:rsidRDefault="004C78C0" w:rsidP="00654255">
            <w:pPr>
              <w:rPr>
                <w:rFonts w:cstheme="minorHAnsi"/>
                <w:color w:val="000000"/>
                <w:sz w:val="16"/>
                <w:szCs w:val="16"/>
              </w:rPr>
            </w:pPr>
            <w:r w:rsidRPr="008D777B">
              <w:rPr>
                <w:color w:val="000000"/>
                <w:sz w:val="16"/>
              </w:rPr>
              <w:t>République tchèque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23B9558" w14:textId="77777777" w:rsidR="004C78C0" w:rsidRPr="008D777B" w:rsidRDefault="004C78C0" w:rsidP="00654255">
            <w:pPr>
              <w:jc w:val="right"/>
              <w:rPr>
                <w:rFonts w:cstheme="minorHAnsi"/>
                <w:color w:val="000000"/>
                <w:sz w:val="16"/>
                <w:szCs w:val="16"/>
              </w:rPr>
            </w:pPr>
            <w:r w:rsidRPr="008D777B">
              <w:rPr>
                <w:color w:val="000000"/>
                <w:sz w:val="16"/>
              </w:rPr>
              <w:t>0,8</w:t>
            </w:r>
          </w:p>
        </w:tc>
        <w:tc>
          <w:tcPr>
            <w:tcW w:w="990" w:type="dxa"/>
            <w:tcBorders>
              <w:top w:val="nil"/>
              <w:left w:val="nil"/>
              <w:bottom w:val="single" w:sz="4" w:space="0" w:color="FFFFFF"/>
              <w:right w:val="single" w:sz="4" w:space="0" w:color="FFFFFF"/>
            </w:tcBorders>
            <w:shd w:val="clear" w:color="auto" w:fill="auto"/>
            <w:vAlign w:val="bottom"/>
            <w:hideMark/>
          </w:tcPr>
          <w:p w14:paraId="42DD01D2" w14:textId="77777777" w:rsidR="004C78C0" w:rsidRPr="008D777B" w:rsidRDefault="004C78C0" w:rsidP="00654255">
            <w:pPr>
              <w:jc w:val="right"/>
              <w:rPr>
                <w:rFonts w:cstheme="minorHAnsi"/>
                <w:color w:val="000000"/>
                <w:sz w:val="16"/>
                <w:szCs w:val="16"/>
              </w:rPr>
            </w:pPr>
            <w:r w:rsidRPr="008D777B">
              <w:rPr>
                <w:color w:val="000000"/>
                <w:sz w:val="16"/>
              </w:rPr>
              <w:t>35.172,4</w:t>
            </w:r>
          </w:p>
        </w:tc>
        <w:tc>
          <w:tcPr>
            <w:tcW w:w="990" w:type="dxa"/>
            <w:tcBorders>
              <w:top w:val="nil"/>
              <w:left w:val="nil"/>
              <w:bottom w:val="single" w:sz="4" w:space="0" w:color="FFFFFF"/>
              <w:right w:val="single" w:sz="4" w:space="0" w:color="FFFFFF"/>
            </w:tcBorders>
            <w:shd w:val="clear" w:color="auto" w:fill="auto"/>
            <w:vAlign w:val="bottom"/>
            <w:hideMark/>
          </w:tcPr>
          <w:p w14:paraId="339BBF9E" w14:textId="77777777" w:rsidR="004C78C0" w:rsidRPr="008D777B" w:rsidRDefault="004C78C0" w:rsidP="00654255">
            <w:pPr>
              <w:jc w:val="right"/>
              <w:rPr>
                <w:rFonts w:cstheme="minorHAnsi"/>
                <w:color w:val="000000"/>
                <w:sz w:val="16"/>
                <w:szCs w:val="16"/>
              </w:rPr>
            </w:pPr>
            <w:r w:rsidRPr="008D777B">
              <w:rPr>
                <w:color w:val="000000"/>
                <w:sz w:val="16"/>
              </w:rPr>
              <w:t>11.856,5</w:t>
            </w:r>
          </w:p>
        </w:tc>
        <w:tc>
          <w:tcPr>
            <w:tcW w:w="673" w:type="dxa"/>
            <w:tcBorders>
              <w:top w:val="nil"/>
              <w:left w:val="nil"/>
              <w:bottom w:val="single" w:sz="4" w:space="0" w:color="FFFFFF"/>
              <w:right w:val="single" w:sz="4" w:space="0" w:color="auto"/>
            </w:tcBorders>
            <w:shd w:val="clear" w:color="auto" w:fill="auto"/>
            <w:noWrap/>
            <w:vAlign w:val="bottom"/>
            <w:hideMark/>
          </w:tcPr>
          <w:p w14:paraId="7912D135" w14:textId="77777777" w:rsidR="004C78C0" w:rsidRPr="008D777B" w:rsidRDefault="004C78C0" w:rsidP="00654255">
            <w:pPr>
              <w:jc w:val="right"/>
              <w:rPr>
                <w:rFonts w:cstheme="minorHAnsi"/>
                <w:color w:val="000000"/>
                <w:sz w:val="16"/>
                <w:szCs w:val="16"/>
              </w:rPr>
            </w:pPr>
            <w:r w:rsidRPr="008D777B">
              <w:rPr>
                <w:color w:val="000000"/>
                <w:sz w:val="16"/>
              </w:rPr>
              <w:t>-66,3</w:t>
            </w:r>
          </w:p>
        </w:tc>
        <w:tc>
          <w:tcPr>
            <w:tcW w:w="829" w:type="dxa"/>
            <w:tcBorders>
              <w:top w:val="nil"/>
              <w:left w:val="nil"/>
              <w:bottom w:val="single" w:sz="4" w:space="0" w:color="FFFFFF"/>
              <w:right w:val="single" w:sz="4" w:space="0" w:color="FFFFFF"/>
            </w:tcBorders>
            <w:shd w:val="clear" w:color="auto" w:fill="auto"/>
            <w:noWrap/>
            <w:vAlign w:val="bottom"/>
            <w:hideMark/>
          </w:tcPr>
          <w:p w14:paraId="61F0E306" w14:textId="77777777" w:rsidR="004C78C0" w:rsidRPr="008D777B" w:rsidRDefault="004C78C0" w:rsidP="00654255">
            <w:pPr>
              <w:jc w:val="right"/>
              <w:rPr>
                <w:rFonts w:cstheme="minorHAnsi"/>
                <w:color w:val="000000"/>
                <w:sz w:val="16"/>
                <w:szCs w:val="16"/>
              </w:rPr>
            </w:pPr>
            <w:r w:rsidRPr="008D777B">
              <w:rPr>
                <w:color w:val="000000"/>
                <w:sz w:val="16"/>
              </w:rPr>
              <w:t>0,5</w:t>
            </w:r>
          </w:p>
        </w:tc>
        <w:tc>
          <w:tcPr>
            <w:tcW w:w="854" w:type="dxa"/>
            <w:tcBorders>
              <w:top w:val="nil"/>
              <w:left w:val="nil"/>
              <w:bottom w:val="single" w:sz="4" w:space="0" w:color="FFFFFF"/>
              <w:right w:val="single" w:sz="4" w:space="0" w:color="FFFFFF"/>
            </w:tcBorders>
            <w:shd w:val="clear" w:color="auto" w:fill="auto"/>
            <w:noWrap/>
            <w:vAlign w:val="bottom"/>
            <w:hideMark/>
          </w:tcPr>
          <w:p w14:paraId="71425849" w14:textId="77777777" w:rsidR="004C78C0" w:rsidRPr="008D777B" w:rsidRDefault="004C78C0" w:rsidP="00654255">
            <w:pPr>
              <w:jc w:val="right"/>
              <w:rPr>
                <w:rFonts w:cstheme="minorHAnsi"/>
                <w:color w:val="000000"/>
                <w:sz w:val="16"/>
                <w:szCs w:val="16"/>
              </w:rPr>
            </w:pPr>
            <w:r w:rsidRPr="008D777B">
              <w:rPr>
                <w:color w:val="000000"/>
                <w:sz w:val="16"/>
              </w:rPr>
              <w:t>4.734,3</w:t>
            </w:r>
          </w:p>
        </w:tc>
        <w:tc>
          <w:tcPr>
            <w:tcW w:w="854" w:type="dxa"/>
            <w:tcBorders>
              <w:top w:val="nil"/>
              <w:left w:val="nil"/>
              <w:bottom w:val="single" w:sz="4" w:space="0" w:color="FFFFFF"/>
              <w:right w:val="single" w:sz="4" w:space="0" w:color="FFFFFF"/>
            </w:tcBorders>
            <w:shd w:val="clear" w:color="auto" w:fill="auto"/>
            <w:noWrap/>
            <w:vAlign w:val="bottom"/>
            <w:hideMark/>
          </w:tcPr>
          <w:p w14:paraId="1941D312" w14:textId="77777777" w:rsidR="004C78C0" w:rsidRPr="008D777B" w:rsidRDefault="004C78C0" w:rsidP="00654255">
            <w:pPr>
              <w:jc w:val="right"/>
              <w:rPr>
                <w:rFonts w:cstheme="minorHAnsi"/>
                <w:color w:val="000000"/>
                <w:sz w:val="16"/>
                <w:szCs w:val="16"/>
              </w:rPr>
            </w:pPr>
            <w:r w:rsidRPr="008D777B">
              <w:rPr>
                <w:color w:val="000000"/>
                <w:sz w:val="16"/>
              </w:rPr>
              <w:t>4.267,4</w:t>
            </w:r>
          </w:p>
        </w:tc>
        <w:tc>
          <w:tcPr>
            <w:tcW w:w="673" w:type="dxa"/>
            <w:tcBorders>
              <w:top w:val="nil"/>
              <w:left w:val="nil"/>
              <w:bottom w:val="single" w:sz="4" w:space="0" w:color="FFFFFF"/>
              <w:right w:val="nil"/>
            </w:tcBorders>
            <w:shd w:val="clear" w:color="auto" w:fill="auto"/>
            <w:noWrap/>
            <w:vAlign w:val="bottom"/>
            <w:hideMark/>
          </w:tcPr>
          <w:p w14:paraId="0D4B1868" w14:textId="77777777" w:rsidR="004C78C0" w:rsidRPr="008D777B" w:rsidRDefault="004C78C0" w:rsidP="00654255">
            <w:pPr>
              <w:jc w:val="right"/>
              <w:rPr>
                <w:rFonts w:cstheme="minorHAnsi"/>
                <w:color w:val="000000"/>
                <w:sz w:val="16"/>
                <w:szCs w:val="16"/>
              </w:rPr>
            </w:pPr>
            <w:r w:rsidRPr="008D777B">
              <w:rPr>
                <w:color w:val="000000"/>
                <w:sz w:val="16"/>
              </w:rPr>
              <w:t>-9,9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4F41078" w14:textId="77777777" w:rsidR="004C78C0" w:rsidRPr="008D777B" w:rsidRDefault="004C78C0" w:rsidP="00654255">
            <w:pPr>
              <w:jc w:val="right"/>
              <w:rPr>
                <w:rFonts w:cstheme="minorHAnsi"/>
                <w:color w:val="000000"/>
                <w:sz w:val="16"/>
                <w:szCs w:val="16"/>
              </w:rPr>
            </w:pPr>
            <w:r w:rsidRPr="008D777B">
              <w:rPr>
                <w:color w:val="000000"/>
                <w:sz w:val="16"/>
              </w:rPr>
              <w:t>36,0</w:t>
            </w:r>
          </w:p>
        </w:tc>
      </w:tr>
      <w:tr w:rsidR="004C78C0" w:rsidRPr="008D777B" w14:paraId="1BE04431"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A6B3B80" w14:textId="77777777" w:rsidR="004C78C0" w:rsidRPr="008D777B" w:rsidRDefault="004C78C0" w:rsidP="00654255">
            <w:pPr>
              <w:rPr>
                <w:rFonts w:cstheme="minorHAnsi"/>
                <w:color w:val="000000"/>
                <w:sz w:val="16"/>
                <w:szCs w:val="16"/>
              </w:rPr>
            </w:pPr>
            <w:r w:rsidRPr="008D777B">
              <w:rPr>
                <w:color w:val="000000"/>
                <w:sz w:val="16"/>
              </w:rPr>
              <w:t>Danemark</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ED66B0E" w14:textId="77777777" w:rsidR="004C78C0" w:rsidRPr="008D777B" w:rsidRDefault="004C78C0" w:rsidP="00654255">
            <w:pPr>
              <w:jc w:val="right"/>
              <w:rPr>
                <w:rFonts w:cstheme="minorHAnsi"/>
                <w:color w:val="000000"/>
                <w:sz w:val="16"/>
                <w:szCs w:val="16"/>
              </w:rPr>
            </w:pPr>
            <w:r w:rsidRPr="008D777B">
              <w:rPr>
                <w:color w:val="000000"/>
                <w:sz w:val="16"/>
              </w:rPr>
              <w:t>1,8</w:t>
            </w:r>
          </w:p>
        </w:tc>
        <w:tc>
          <w:tcPr>
            <w:tcW w:w="990" w:type="dxa"/>
            <w:tcBorders>
              <w:top w:val="nil"/>
              <w:left w:val="nil"/>
              <w:bottom w:val="single" w:sz="4" w:space="0" w:color="FFFFFF"/>
              <w:right w:val="single" w:sz="4" w:space="0" w:color="FFFFFF"/>
            </w:tcBorders>
            <w:shd w:val="clear" w:color="auto" w:fill="auto"/>
            <w:vAlign w:val="bottom"/>
            <w:hideMark/>
          </w:tcPr>
          <w:p w14:paraId="22D5AB7D" w14:textId="77777777" w:rsidR="004C78C0" w:rsidRPr="008D777B" w:rsidRDefault="004C78C0" w:rsidP="00654255">
            <w:pPr>
              <w:jc w:val="right"/>
              <w:rPr>
                <w:rFonts w:cstheme="minorHAnsi"/>
                <w:color w:val="000000"/>
                <w:sz w:val="16"/>
                <w:szCs w:val="16"/>
              </w:rPr>
            </w:pPr>
            <w:r w:rsidRPr="008D777B">
              <w:rPr>
                <w:color w:val="000000"/>
                <w:sz w:val="16"/>
              </w:rPr>
              <w:t>25.553,3</w:t>
            </w:r>
          </w:p>
        </w:tc>
        <w:tc>
          <w:tcPr>
            <w:tcW w:w="990" w:type="dxa"/>
            <w:tcBorders>
              <w:top w:val="nil"/>
              <w:left w:val="nil"/>
              <w:bottom w:val="single" w:sz="4" w:space="0" w:color="FFFFFF"/>
              <w:right w:val="single" w:sz="4" w:space="0" w:color="FFFFFF"/>
            </w:tcBorders>
            <w:shd w:val="clear" w:color="auto" w:fill="auto"/>
            <w:vAlign w:val="bottom"/>
            <w:hideMark/>
          </w:tcPr>
          <w:p w14:paraId="7A20A51C" w14:textId="77777777" w:rsidR="004C78C0" w:rsidRPr="008D777B" w:rsidRDefault="004C78C0" w:rsidP="00654255">
            <w:pPr>
              <w:jc w:val="right"/>
              <w:rPr>
                <w:rFonts w:cstheme="minorHAnsi"/>
                <w:color w:val="000000"/>
                <w:sz w:val="16"/>
                <w:szCs w:val="16"/>
              </w:rPr>
            </w:pPr>
            <w:r w:rsidRPr="008D777B">
              <w:rPr>
                <w:color w:val="000000"/>
                <w:sz w:val="16"/>
              </w:rPr>
              <w:t>26.921,6</w:t>
            </w:r>
          </w:p>
        </w:tc>
        <w:tc>
          <w:tcPr>
            <w:tcW w:w="673" w:type="dxa"/>
            <w:tcBorders>
              <w:top w:val="nil"/>
              <w:left w:val="nil"/>
              <w:bottom w:val="single" w:sz="4" w:space="0" w:color="FFFFFF"/>
              <w:right w:val="single" w:sz="4" w:space="0" w:color="auto"/>
            </w:tcBorders>
            <w:shd w:val="clear" w:color="auto" w:fill="auto"/>
            <w:noWrap/>
            <w:vAlign w:val="bottom"/>
            <w:hideMark/>
          </w:tcPr>
          <w:p w14:paraId="516B270C" w14:textId="77777777" w:rsidR="004C78C0" w:rsidRPr="008D777B" w:rsidRDefault="004C78C0" w:rsidP="00654255">
            <w:pPr>
              <w:jc w:val="right"/>
              <w:rPr>
                <w:rFonts w:cstheme="minorHAnsi"/>
                <w:color w:val="000000"/>
                <w:sz w:val="16"/>
                <w:szCs w:val="16"/>
              </w:rPr>
            </w:pPr>
            <w:r w:rsidRPr="008D777B">
              <w:rPr>
                <w:color w:val="000000"/>
                <w:sz w:val="16"/>
              </w:rPr>
              <w:t>5,4</w:t>
            </w:r>
          </w:p>
        </w:tc>
        <w:tc>
          <w:tcPr>
            <w:tcW w:w="829" w:type="dxa"/>
            <w:tcBorders>
              <w:top w:val="nil"/>
              <w:left w:val="nil"/>
              <w:bottom w:val="single" w:sz="4" w:space="0" w:color="FFFFFF"/>
              <w:right w:val="single" w:sz="4" w:space="0" w:color="FFFFFF"/>
            </w:tcBorders>
            <w:shd w:val="clear" w:color="auto" w:fill="auto"/>
            <w:noWrap/>
            <w:vAlign w:val="bottom"/>
            <w:hideMark/>
          </w:tcPr>
          <w:p w14:paraId="16C5C536" w14:textId="77777777" w:rsidR="004C78C0" w:rsidRPr="008D777B" w:rsidRDefault="004C78C0" w:rsidP="00654255">
            <w:pPr>
              <w:jc w:val="right"/>
              <w:rPr>
                <w:rFonts w:cstheme="minorHAnsi"/>
                <w:color w:val="000000"/>
                <w:sz w:val="16"/>
                <w:szCs w:val="16"/>
              </w:rPr>
            </w:pPr>
            <w:r w:rsidRPr="008D777B">
              <w:rPr>
                <w:color w:val="000000"/>
                <w:sz w:val="16"/>
              </w:rPr>
              <w:t>0,4</w:t>
            </w:r>
          </w:p>
        </w:tc>
        <w:tc>
          <w:tcPr>
            <w:tcW w:w="854" w:type="dxa"/>
            <w:tcBorders>
              <w:top w:val="nil"/>
              <w:left w:val="nil"/>
              <w:bottom w:val="single" w:sz="4" w:space="0" w:color="FFFFFF"/>
              <w:right w:val="single" w:sz="4" w:space="0" w:color="FFFFFF"/>
            </w:tcBorders>
            <w:shd w:val="clear" w:color="auto" w:fill="auto"/>
            <w:noWrap/>
            <w:vAlign w:val="bottom"/>
            <w:hideMark/>
          </w:tcPr>
          <w:p w14:paraId="3C2B77E4" w14:textId="77777777" w:rsidR="004C78C0" w:rsidRPr="008D777B" w:rsidRDefault="004C78C0" w:rsidP="00654255">
            <w:pPr>
              <w:jc w:val="right"/>
              <w:rPr>
                <w:rFonts w:cstheme="minorHAnsi"/>
                <w:color w:val="000000"/>
                <w:sz w:val="16"/>
                <w:szCs w:val="16"/>
              </w:rPr>
            </w:pPr>
            <w:r w:rsidRPr="008D777B">
              <w:rPr>
                <w:color w:val="000000"/>
                <w:sz w:val="16"/>
              </w:rPr>
              <w:t>4.318,3</w:t>
            </w:r>
          </w:p>
        </w:tc>
        <w:tc>
          <w:tcPr>
            <w:tcW w:w="854" w:type="dxa"/>
            <w:tcBorders>
              <w:top w:val="nil"/>
              <w:left w:val="nil"/>
              <w:bottom w:val="single" w:sz="4" w:space="0" w:color="FFFFFF"/>
              <w:right w:val="single" w:sz="4" w:space="0" w:color="FFFFFF"/>
            </w:tcBorders>
            <w:shd w:val="clear" w:color="auto" w:fill="auto"/>
            <w:noWrap/>
            <w:vAlign w:val="bottom"/>
            <w:hideMark/>
          </w:tcPr>
          <w:p w14:paraId="6AA34669" w14:textId="77777777" w:rsidR="004C78C0" w:rsidRPr="008D777B" w:rsidRDefault="004C78C0" w:rsidP="00654255">
            <w:pPr>
              <w:jc w:val="right"/>
              <w:rPr>
                <w:rFonts w:cstheme="minorHAnsi"/>
                <w:color w:val="000000"/>
                <w:sz w:val="16"/>
                <w:szCs w:val="16"/>
              </w:rPr>
            </w:pPr>
            <w:r w:rsidRPr="008D777B">
              <w:rPr>
                <w:color w:val="000000"/>
                <w:sz w:val="16"/>
              </w:rPr>
              <w:t>3.722,9</w:t>
            </w:r>
          </w:p>
        </w:tc>
        <w:tc>
          <w:tcPr>
            <w:tcW w:w="673" w:type="dxa"/>
            <w:tcBorders>
              <w:top w:val="nil"/>
              <w:left w:val="nil"/>
              <w:bottom w:val="single" w:sz="4" w:space="0" w:color="FFFFFF"/>
              <w:right w:val="nil"/>
            </w:tcBorders>
            <w:shd w:val="clear" w:color="auto" w:fill="auto"/>
            <w:noWrap/>
            <w:vAlign w:val="bottom"/>
            <w:hideMark/>
          </w:tcPr>
          <w:p w14:paraId="14D10928" w14:textId="77777777" w:rsidR="004C78C0" w:rsidRPr="008D777B" w:rsidRDefault="004C78C0" w:rsidP="00654255">
            <w:pPr>
              <w:jc w:val="right"/>
              <w:rPr>
                <w:rFonts w:cstheme="minorHAnsi"/>
                <w:color w:val="000000"/>
                <w:sz w:val="16"/>
                <w:szCs w:val="16"/>
              </w:rPr>
            </w:pPr>
            <w:r w:rsidRPr="008D777B">
              <w:rPr>
                <w:color w:val="000000"/>
                <w:sz w:val="16"/>
              </w:rPr>
              <w:t>-13,8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259034C" w14:textId="77777777" w:rsidR="004C78C0" w:rsidRPr="008D777B" w:rsidRDefault="004C78C0" w:rsidP="00654255">
            <w:pPr>
              <w:jc w:val="right"/>
              <w:rPr>
                <w:rFonts w:cstheme="minorHAnsi"/>
                <w:color w:val="000000"/>
                <w:sz w:val="16"/>
                <w:szCs w:val="16"/>
              </w:rPr>
            </w:pPr>
            <w:r w:rsidRPr="008D777B">
              <w:rPr>
                <w:color w:val="000000"/>
                <w:sz w:val="16"/>
              </w:rPr>
              <w:t>13,8</w:t>
            </w:r>
          </w:p>
        </w:tc>
      </w:tr>
      <w:tr w:rsidR="004C78C0" w:rsidRPr="008D777B" w14:paraId="7A0A331F"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5A4CD84" w14:textId="77777777" w:rsidR="004C78C0" w:rsidRPr="008D777B" w:rsidRDefault="004C78C0" w:rsidP="00654255">
            <w:pPr>
              <w:rPr>
                <w:rFonts w:cstheme="minorHAnsi"/>
                <w:color w:val="000000"/>
                <w:sz w:val="16"/>
                <w:szCs w:val="16"/>
              </w:rPr>
            </w:pPr>
            <w:r w:rsidRPr="008D777B">
              <w:rPr>
                <w:color w:val="000000"/>
                <w:sz w:val="16"/>
              </w:rPr>
              <w:t>Lituanie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E6CFFE5" w14:textId="77777777" w:rsidR="004C78C0" w:rsidRPr="008D777B" w:rsidRDefault="004C78C0" w:rsidP="00654255">
            <w:pPr>
              <w:jc w:val="right"/>
              <w:rPr>
                <w:rFonts w:cstheme="minorHAnsi"/>
                <w:color w:val="000000"/>
                <w:sz w:val="16"/>
                <w:szCs w:val="16"/>
              </w:rPr>
            </w:pPr>
            <w:r w:rsidRPr="008D777B">
              <w:rPr>
                <w:color w:val="000000"/>
                <w:sz w:val="16"/>
              </w:rPr>
              <w:t>1,0</w:t>
            </w:r>
          </w:p>
        </w:tc>
        <w:tc>
          <w:tcPr>
            <w:tcW w:w="990" w:type="dxa"/>
            <w:tcBorders>
              <w:top w:val="nil"/>
              <w:left w:val="nil"/>
              <w:bottom w:val="single" w:sz="4" w:space="0" w:color="FFFFFF"/>
              <w:right w:val="single" w:sz="4" w:space="0" w:color="FFFFFF"/>
            </w:tcBorders>
            <w:shd w:val="clear" w:color="auto" w:fill="auto"/>
            <w:vAlign w:val="bottom"/>
            <w:hideMark/>
          </w:tcPr>
          <w:p w14:paraId="56A1BDD8" w14:textId="77777777" w:rsidR="004C78C0" w:rsidRPr="008D777B" w:rsidRDefault="004C78C0" w:rsidP="00654255">
            <w:pPr>
              <w:jc w:val="right"/>
              <w:rPr>
                <w:rFonts w:cstheme="minorHAnsi"/>
                <w:color w:val="000000"/>
                <w:sz w:val="16"/>
                <w:szCs w:val="16"/>
              </w:rPr>
            </w:pPr>
            <w:r w:rsidRPr="008D777B">
              <w:rPr>
                <w:color w:val="000000"/>
                <w:sz w:val="16"/>
              </w:rPr>
              <w:t>12.472,1</w:t>
            </w:r>
          </w:p>
        </w:tc>
        <w:tc>
          <w:tcPr>
            <w:tcW w:w="990" w:type="dxa"/>
            <w:tcBorders>
              <w:top w:val="nil"/>
              <w:left w:val="nil"/>
              <w:bottom w:val="single" w:sz="4" w:space="0" w:color="FFFFFF"/>
              <w:right w:val="single" w:sz="4" w:space="0" w:color="FFFFFF"/>
            </w:tcBorders>
            <w:shd w:val="clear" w:color="auto" w:fill="auto"/>
            <w:vAlign w:val="bottom"/>
            <w:hideMark/>
          </w:tcPr>
          <w:p w14:paraId="15FCF684" w14:textId="77777777" w:rsidR="004C78C0" w:rsidRPr="008D777B" w:rsidRDefault="004C78C0" w:rsidP="00654255">
            <w:pPr>
              <w:jc w:val="right"/>
              <w:rPr>
                <w:rFonts w:cstheme="minorHAnsi"/>
                <w:color w:val="000000"/>
                <w:sz w:val="16"/>
                <w:szCs w:val="16"/>
              </w:rPr>
            </w:pPr>
            <w:r w:rsidRPr="008D777B">
              <w:rPr>
                <w:color w:val="000000"/>
                <w:sz w:val="16"/>
              </w:rPr>
              <w:t>13.970,8</w:t>
            </w:r>
          </w:p>
        </w:tc>
        <w:tc>
          <w:tcPr>
            <w:tcW w:w="673" w:type="dxa"/>
            <w:tcBorders>
              <w:top w:val="nil"/>
              <w:left w:val="nil"/>
              <w:bottom w:val="single" w:sz="4" w:space="0" w:color="FFFFFF"/>
              <w:right w:val="single" w:sz="4" w:space="0" w:color="auto"/>
            </w:tcBorders>
            <w:shd w:val="clear" w:color="auto" w:fill="auto"/>
            <w:noWrap/>
            <w:vAlign w:val="bottom"/>
            <w:hideMark/>
          </w:tcPr>
          <w:p w14:paraId="2489E0C6" w14:textId="77777777" w:rsidR="004C78C0" w:rsidRPr="008D777B" w:rsidRDefault="004C78C0" w:rsidP="00654255">
            <w:pPr>
              <w:jc w:val="right"/>
              <w:rPr>
                <w:rFonts w:cstheme="minorHAnsi"/>
                <w:color w:val="000000"/>
                <w:sz w:val="16"/>
                <w:szCs w:val="16"/>
              </w:rPr>
            </w:pPr>
            <w:r w:rsidRPr="008D777B">
              <w:rPr>
                <w:color w:val="000000"/>
                <w:sz w:val="16"/>
              </w:rPr>
              <w:t>12,0</w:t>
            </w:r>
          </w:p>
        </w:tc>
        <w:tc>
          <w:tcPr>
            <w:tcW w:w="829" w:type="dxa"/>
            <w:tcBorders>
              <w:top w:val="nil"/>
              <w:left w:val="nil"/>
              <w:bottom w:val="single" w:sz="4" w:space="0" w:color="FFFFFF"/>
              <w:right w:val="single" w:sz="4" w:space="0" w:color="FFFFFF"/>
            </w:tcBorders>
            <w:shd w:val="clear" w:color="auto" w:fill="auto"/>
            <w:noWrap/>
            <w:vAlign w:val="bottom"/>
            <w:hideMark/>
          </w:tcPr>
          <w:p w14:paraId="5880D5F5"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619D0386" w14:textId="77777777" w:rsidR="004C78C0" w:rsidRPr="008D777B" w:rsidRDefault="004C78C0" w:rsidP="00654255">
            <w:pPr>
              <w:jc w:val="right"/>
              <w:rPr>
                <w:rFonts w:cstheme="minorHAnsi"/>
                <w:color w:val="000000"/>
                <w:sz w:val="16"/>
                <w:szCs w:val="16"/>
              </w:rPr>
            </w:pPr>
            <w:r w:rsidRPr="008D777B">
              <w:rPr>
                <w:color w:val="000000"/>
                <w:sz w:val="16"/>
              </w:rPr>
              <w:t>3.235,5</w:t>
            </w:r>
          </w:p>
        </w:tc>
        <w:tc>
          <w:tcPr>
            <w:tcW w:w="854" w:type="dxa"/>
            <w:tcBorders>
              <w:top w:val="nil"/>
              <w:left w:val="nil"/>
              <w:bottom w:val="single" w:sz="4" w:space="0" w:color="FFFFFF"/>
              <w:right w:val="single" w:sz="4" w:space="0" w:color="FFFFFF"/>
            </w:tcBorders>
            <w:shd w:val="clear" w:color="auto" w:fill="auto"/>
            <w:noWrap/>
            <w:vAlign w:val="bottom"/>
            <w:hideMark/>
          </w:tcPr>
          <w:p w14:paraId="5F9D1E9E" w14:textId="77777777" w:rsidR="004C78C0" w:rsidRPr="008D777B" w:rsidRDefault="004C78C0" w:rsidP="00654255">
            <w:pPr>
              <w:jc w:val="right"/>
              <w:rPr>
                <w:rFonts w:cstheme="minorHAnsi"/>
                <w:color w:val="000000"/>
                <w:sz w:val="16"/>
                <w:szCs w:val="16"/>
              </w:rPr>
            </w:pPr>
            <w:r w:rsidRPr="008D777B">
              <w:rPr>
                <w:color w:val="000000"/>
                <w:sz w:val="16"/>
              </w:rPr>
              <w:t>2.024,5</w:t>
            </w:r>
          </w:p>
        </w:tc>
        <w:tc>
          <w:tcPr>
            <w:tcW w:w="673" w:type="dxa"/>
            <w:tcBorders>
              <w:top w:val="nil"/>
              <w:left w:val="nil"/>
              <w:bottom w:val="single" w:sz="4" w:space="0" w:color="FFFFFF"/>
              <w:right w:val="nil"/>
            </w:tcBorders>
            <w:shd w:val="clear" w:color="auto" w:fill="auto"/>
            <w:noWrap/>
            <w:vAlign w:val="bottom"/>
            <w:hideMark/>
          </w:tcPr>
          <w:p w14:paraId="29AC85AA" w14:textId="77777777" w:rsidR="004C78C0" w:rsidRPr="008D777B" w:rsidRDefault="004C78C0" w:rsidP="00654255">
            <w:pPr>
              <w:jc w:val="right"/>
              <w:rPr>
                <w:rFonts w:cstheme="minorHAnsi"/>
                <w:color w:val="000000"/>
                <w:sz w:val="16"/>
                <w:szCs w:val="16"/>
              </w:rPr>
            </w:pPr>
            <w:r w:rsidRPr="008D777B">
              <w:rPr>
                <w:color w:val="000000"/>
                <w:sz w:val="16"/>
              </w:rPr>
              <w:t>-37,4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A90A4AC" w14:textId="77777777" w:rsidR="004C78C0" w:rsidRPr="008D777B" w:rsidRDefault="004C78C0" w:rsidP="00654255">
            <w:pPr>
              <w:jc w:val="right"/>
              <w:rPr>
                <w:rFonts w:cstheme="minorHAnsi"/>
                <w:color w:val="000000"/>
                <w:sz w:val="16"/>
                <w:szCs w:val="16"/>
              </w:rPr>
            </w:pPr>
            <w:r w:rsidRPr="008D777B">
              <w:rPr>
                <w:color w:val="000000"/>
                <w:sz w:val="16"/>
              </w:rPr>
              <w:t>14,5</w:t>
            </w:r>
          </w:p>
        </w:tc>
      </w:tr>
      <w:tr w:rsidR="004C78C0" w:rsidRPr="008D777B" w14:paraId="16216C1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45827E4" w14:textId="77777777" w:rsidR="004C78C0" w:rsidRPr="008D777B" w:rsidRDefault="004C78C0" w:rsidP="00654255">
            <w:pPr>
              <w:rPr>
                <w:rFonts w:cstheme="minorHAnsi"/>
                <w:color w:val="000000"/>
                <w:sz w:val="16"/>
                <w:szCs w:val="16"/>
              </w:rPr>
            </w:pPr>
            <w:r w:rsidRPr="008D777B">
              <w:rPr>
                <w:color w:val="000000"/>
                <w:sz w:val="16"/>
              </w:rPr>
              <w:t>Roumanie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4FF4AF0" w14:textId="77777777" w:rsidR="004C78C0" w:rsidRPr="008D777B" w:rsidRDefault="004C78C0" w:rsidP="00654255">
            <w:pPr>
              <w:jc w:val="right"/>
              <w:rPr>
                <w:rFonts w:cstheme="minorHAnsi"/>
                <w:color w:val="000000"/>
                <w:sz w:val="16"/>
                <w:szCs w:val="16"/>
              </w:rPr>
            </w:pPr>
            <w:r w:rsidRPr="008D777B">
              <w:rPr>
                <w:color w:val="000000"/>
                <w:sz w:val="16"/>
              </w:rPr>
              <w:t>2,0</w:t>
            </w:r>
          </w:p>
        </w:tc>
        <w:tc>
          <w:tcPr>
            <w:tcW w:w="990" w:type="dxa"/>
            <w:tcBorders>
              <w:top w:val="nil"/>
              <w:left w:val="nil"/>
              <w:bottom w:val="single" w:sz="4" w:space="0" w:color="FFFFFF"/>
              <w:right w:val="single" w:sz="4" w:space="0" w:color="FFFFFF"/>
            </w:tcBorders>
            <w:shd w:val="clear" w:color="auto" w:fill="auto"/>
            <w:vAlign w:val="bottom"/>
            <w:hideMark/>
          </w:tcPr>
          <w:p w14:paraId="00EAD5CC" w14:textId="77777777" w:rsidR="004C78C0" w:rsidRPr="008D777B" w:rsidRDefault="004C78C0" w:rsidP="00654255">
            <w:pPr>
              <w:jc w:val="right"/>
              <w:rPr>
                <w:rFonts w:cstheme="minorHAnsi"/>
                <w:color w:val="000000"/>
                <w:sz w:val="16"/>
                <w:szCs w:val="16"/>
              </w:rPr>
            </w:pPr>
            <w:r w:rsidRPr="008D777B">
              <w:rPr>
                <w:color w:val="000000"/>
                <w:sz w:val="16"/>
              </w:rPr>
              <w:t>51.657,9</w:t>
            </w:r>
          </w:p>
        </w:tc>
        <w:tc>
          <w:tcPr>
            <w:tcW w:w="990" w:type="dxa"/>
            <w:tcBorders>
              <w:top w:val="nil"/>
              <w:left w:val="nil"/>
              <w:bottom w:val="single" w:sz="4" w:space="0" w:color="FFFFFF"/>
              <w:right w:val="single" w:sz="4" w:space="0" w:color="FFFFFF"/>
            </w:tcBorders>
            <w:shd w:val="clear" w:color="auto" w:fill="auto"/>
            <w:vAlign w:val="bottom"/>
            <w:hideMark/>
          </w:tcPr>
          <w:p w14:paraId="4C18A948" w14:textId="77777777" w:rsidR="004C78C0" w:rsidRPr="008D777B" w:rsidRDefault="004C78C0" w:rsidP="00654255">
            <w:pPr>
              <w:jc w:val="right"/>
              <w:rPr>
                <w:rFonts w:cstheme="minorHAnsi"/>
                <w:color w:val="000000"/>
                <w:sz w:val="16"/>
                <w:szCs w:val="16"/>
              </w:rPr>
            </w:pPr>
            <w:r w:rsidRPr="008D777B">
              <w:rPr>
                <w:color w:val="000000"/>
                <w:sz w:val="16"/>
              </w:rPr>
              <w:t>28.659,4</w:t>
            </w:r>
          </w:p>
        </w:tc>
        <w:tc>
          <w:tcPr>
            <w:tcW w:w="673" w:type="dxa"/>
            <w:tcBorders>
              <w:top w:val="nil"/>
              <w:left w:val="nil"/>
              <w:bottom w:val="single" w:sz="4" w:space="0" w:color="FFFFFF"/>
              <w:right w:val="single" w:sz="4" w:space="0" w:color="auto"/>
            </w:tcBorders>
            <w:shd w:val="clear" w:color="auto" w:fill="auto"/>
            <w:noWrap/>
            <w:vAlign w:val="bottom"/>
            <w:hideMark/>
          </w:tcPr>
          <w:p w14:paraId="69231582" w14:textId="77777777" w:rsidR="004C78C0" w:rsidRPr="008D777B" w:rsidRDefault="004C78C0" w:rsidP="00654255">
            <w:pPr>
              <w:jc w:val="right"/>
              <w:rPr>
                <w:rFonts w:cstheme="minorHAnsi"/>
                <w:color w:val="000000"/>
                <w:sz w:val="16"/>
                <w:szCs w:val="16"/>
              </w:rPr>
            </w:pPr>
            <w:r w:rsidRPr="008D777B">
              <w:rPr>
                <w:color w:val="000000"/>
                <w:sz w:val="16"/>
              </w:rPr>
              <w:t>-44,5</w:t>
            </w:r>
          </w:p>
        </w:tc>
        <w:tc>
          <w:tcPr>
            <w:tcW w:w="829" w:type="dxa"/>
            <w:tcBorders>
              <w:top w:val="nil"/>
              <w:left w:val="nil"/>
              <w:bottom w:val="single" w:sz="4" w:space="0" w:color="FFFFFF"/>
              <w:right w:val="single" w:sz="4" w:space="0" w:color="FFFFFF"/>
            </w:tcBorders>
            <w:shd w:val="clear" w:color="auto" w:fill="auto"/>
            <w:noWrap/>
            <w:vAlign w:val="bottom"/>
            <w:hideMark/>
          </w:tcPr>
          <w:p w14:paraId="01FD062E"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62E2C00A" w14:textId="77777777" w:rsidR="004C78C0" w:rsidRPr="008D777B" w:rsidRDefault="004C78C0" w:rsidP="00654255">
            <w:pPr>
              <w:jc w:val="right"/>
              <w:rPr>
                <w:rFonts w:cstheme="minorHAnsi"/>
                <w:color w:val="000000"/>
                <w:sz w:val="16"/>
                <w:szCs w:val="16"/>
              </w:rPr>
            </w:pPr>
            <w:r w:rsidRPr="008D777B">
              <w:rPr>
                <w:color w:val="000000"/>
                <w:sz w:val="16"/>
              </w:rPr>
              <w:t>1.925,1</w:t>
            </w:r>
          </w:p>
        </w:tc>
        <w:tc>
          <w:tcPr>
            <w:tcW w:w="854" w:type="dxa"/>
            <w:tcBorders>
              <w:top w:val="nil"/>
              <w:left w:val="nil"/>
              <w:bottom w:val="single" w:sz="4" w:space="0" w:color="FFFFFF"/>
              <w:right w:val="single" w:sz="4" w:space="0" w:color="FFFFFF"/>
            </w:tcBorders>
            <w:shd w:val="clear" w:color="auto" w:fill="auto"/>
            <w:noWrap/>
            <w:vAlign w:val="bottom"/>
            <w:hideMark/>
          </w:tcPr>
          <w:p w14:paraId="2FEE3BB8" w14:textId="77777777" w:rsidR="004C78C0" w:rsidRPr="008D777B" w:rsidRDefault="004C78C0" w:rsidP="00654255">
            <w:pPr>
              <w:jc w:val="right"/>
              <w:rPr>
                <w:rFonts w:cstheme="minorHAnsi"/>
                <w:color w:val="000000"/>
                <w:sz w:val="16"/>
                <w:szCs w:val="16"/>
              </w:rPr>
            </w:pPr>
            <w:r w:rsidRPr="008D777B">
              <w:rPr>
                <w:color w:val="000000"/>
                <w:sz w:val="16"/>
              </w:rPr>
              <w:t>2.017,3</w:t>
            </w:r>
          </w:p>
        </w:tc>
        <w:tc>
          <w:tcPr>
            <w:tcW w:w="673" w:type="dxa"/>
            <w:tcBorders>
              <w:top w:val="nil"/>
              <w:left w:val="nil"/>
              <w:bottom w:val="single" w:sz="4" w:space="0" w:color="FFFFFF"/>
              <w:right w:val="nil"/>
            </w:tcBorders>
            <w:shd w:val="clear" w:color="auto" w:fill="auto"/>
            <w:noWrap/>
            <w:vAlign w:val="bottom"/>
            <w:hideMark/>
          </w:tcPr>
          <w:p w14:paraId="6175C487" w14:textId="77777777" w:rsidR="004C78C0" w:rsidRPr="008D777B" w:rsidRDefault="004C78C0" w:rsidP="00654255">
            <w:pPr>
              <w:jc w:val="right"/>
              <w:rPr>
                <w:rFonts w:cstheme="minorHAnsi"/>
                <w:color w:val="000000"/>
                <w:sz w:val="16"/>
                <w:szCs w:val="16"/>
              </w:rPr>
            </w:pPr>
            <w:r w:rsidRPr="008D777B">
              <w:rPr>
                <w:color w:val="000000"/>
                <w:sz w:val="16"/>
              </w:rPr>
              <w:t>4,8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7E016234" w14:textId="77777777" w:rsidR="004C78C0" w:rsidRPr="008D777B" w:rsidRDefault="004C78C0" w:rsidP="00654255">
            <w:pPr>
              <w:jc w:val="right"/>
              <w:rPr>
                <w:rFonts w:cstheme="minorHAnsi"/>
                <w:color w:val="000000"/>
                <w:sz w:val="16"/>
                <w:szCs w:val="16"/>
              </w:rPr>
            </w:pPr>
            <w:r w:rsidRPr="008D777B">
              <w:rPr>
                <w:color w:val="000000"/>
                <w:sz w:val="16"/>
              </w:rPr>
              <w:t>7,0</w:t>
            </w:r>
          </w:p>
        </w:tc>
      </w:tr>
      <w:tr w:rsidR="004C78C0" w:rsidRPr="008D777B" w14:paraId="0A36DC32"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B3B6F5E" w14:textId="77777777" w:rsidR="004C78C0" w:rsidRPr="008D777B" w:rsidRDefault="004C78C0" w:rsidP="00654255">
            <w:pPr>
              <w:rPr>
                <w:rFonts w:cstheme="minorHAnsi"/>
                <w:color w:val="000000"/>
                <w:sz w:val="16"/>
                <w:szCs w:val="16"/>
              </w:rPr>
            </w:pPr>
            <w:r w:rsidRPr="008D777B">
              <w:rPr>
                <w:color w:val="000000"/>
                <w:sz w:val="16"/>
              </w:rPr>
              <w:t>Grèce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22C1C8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15017EE" w14:textId="77777777" w:rsidR="004C78C0" w:rsidRPr="008D777B" w:rsidRDefault="004C78C0" w:rsidP="00654255">
            <w:pPr>
              <w:jc w:val="right"/>
              <w:rPr>
                <w:rFonts w:cstheme="minorHAnsi"/>
                <w:color w:val="000000"/>
                <w:sz w:val="16"/>
                <w:szCs w:val="16"/>
              </w:rPr>
            </w:pPr>
            <w:r w:rsidRPr="008D777B">
              <w:rPr>
                <w:color w:val="000000"/>
                <w:sz w:val="16"/>
              </w:rPr>
              <w:t>66,0</w:t>
            </w:r>
          </w:p>
        </w:tc>
        <w:tc>
          <w:tcPr>
            <w:tcW w:w="990" w:type="dxa"/>
            <w:tcBorders>
              <w:top w:val="nil"/>
              <w:left w:val="nil"/>
              <w:bottom w:val="single" w:sz="4" w:space="0" w:color="FFFFFF"/>
              <w:right w:val="single" w:sz="4" w:space="0" w:color="FFFFFF"/>
            </w:tcBorders>
            <w:shd w:val="clear" w:color="auto" w:fill="auto"/>
            <w:vAlign w:val="bottom"/>
            <w:hideMark/>
          </w:tcPr>
          <w:p w14:paraId="78B2BC9B" w14:textId="77777777" w:rsidR="004C78C0" w:rsidRPr="008D777B" w:rsidRDefault="004C78C0" w:rsidP="00654255">
            <w:pPr>
              <w:jc w:val="right"/>
              <w:rPr>
                <w:rFonts w:cstheme="minorHAnsi"/>
                <w:color w:val="000000"/>
                <w:sz w:val="16"/>
                <w:szCs w:val="16"/>
              </w:rPr>
            </w:pPr>
            <w:r w:rsidRPr="008D777B">
              <w:rPr>
                <w:color w:val="000000"/>
                <w:sz w:val="16"/>
              </w:rPr>
              <w:t>133,5</w:t>
            </w:r>
          </w:p>
        </w:tc>
        <w:tc>
          <w:tcPr>
            <w:tcW w:w="673" w:type="dxa"/>
            <w:tcBorders>
              <w:top w:val="nil"/>
              <w:left w:val="nil"/>
              <w:bottom w:val="single" w:sz="4" w:space="0" w:color="FFFFFF"/>
              <w:right w:val="single" w:sz="4" w:space="0" w:color="auto"/>
            </w:tcBorders>
            <w:shd w:val="clear" w:color="auto" w:fill="auto"/>
            <w:noWrap/>
            <w:vAlign w:val="bottom"/>
            <w:hideMark/>
          </w:tcPr>
          <w:p w14:paraId="7BFA7A85" w14:textId="77777777" w:rsidR="004C78C0" w:rsidRPr="008D777B" w:rsidRDefault="004C78C0" w:rsidP="00654255">
            <w:pPr>
              <w:jc w:val="right"/>
              <w:rPr>
                <w:rFonts w:cstheme="minorHAnsi"/>
                <w:color w:val="000000"/>
                <w:sz w:val="16"/>
                <w:szCs w:val="16"/>
              </w:rPr>
            </w:pPr>
            <w:r w:rsidRPr="008D777B">
              <w:rPr>
                <w:color w:val="000000"/>
                <w:sz w:val="16"/>
              </w:rPr>
              <w:t>102,2</w:t>
            </w:r>
          </w:p>
        </w:tc>
        <w:tc>
          <w:tcPr>
            <w:tcW w:w="829" w:type="dxa"/>
            <w:tcBorders>
              <w:top w:val="nil"/>
              <w:left w:val="nil"/>
              <w:bottom w:val="single" w:sz="4" w:space="0" w:color="FFFFFF"/>
              <w:right w:val="single" w:sz="4" w:space="0" w:color="FFFFFF"/>
            </w:tcBorders>
            <w:shd w:val="clear" w:color="auto" w:fill="auto"/>
            <w:noWrap/>
            <w:vAlign w:val="bottom"/>
            <w:hideMark/>
          </w:tcPr>
          <w:p w14:paraId="533B4191"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234F3E41" w14:textId="77777777" w:rsidR="004C78C0" w:rsidRPr="008D777B" w:rsidRDefault="004C78C0" w:rsidP="00654255">
            <w:pPr>
              <w:jc w:val="right"/>
              <w:rPr>
                <w:rFonts w:cstheme="minorHAnsi"/>
                <w:color w:val="000000"/>
                <w:sz w:val="16"/>
                <w:szCs w:val="16"/>
              </w:rPr>
            </w:pPr>
            <w:r w:rsidRPr="008D777B">
              <w:rPr>
                <w:color w:val="000000"/>
                <w:sz w:val="16"/>
              </w:rPr>
              <w:t>1.344,2</w:t>
            </w:r>
          </w:p>
        </w:tc>
        <w:tc>
          <w:tcPr>
            <w:tcW w:w="854" w:type="dxa"/>
            <w:tcBorders>
              <w:top w:val="nil"/>
              <w:left w:val="nil"/>
              <w:bottom w:val="single" w:sz="4" w:space="0" w:color="FFFFFF"/>
              <w:right w:val="single" w:sz="4" w:space="0" w:color="FFFFFF"/>
            </w:tcBorders>
            <w:shd w:val="clear" w:color="auto" w:fill="auto"/>
            <w:noWrap/>
            <w:vAlign w:val="bottom"/>
            <w:hideMark/>
          </w:tcPr>
          <w:p w14:paraId="321410A4" w14:textId="77777777" w:rsidR="004C78C0" w:rsidRPr="008D777B" w:rsidRDefault="004C78C0" w:rsidP="00654255">
            <w:pPr>
              <w:jc w:val="right"/>
              <w:rPr>
                <w:rFonts w:cstheme="minorHAnsi"/>
                <w:color w:val="000000"/>
                <w:sz w:val="16"/>
                <w:szCs w:val="16"/>
              </w:rPr>
            </w:pPr>
            <w:r w:rsidRPr="008D777B">
              <w:rPr>
                <w:color w:val="000000"/>
                <w:sz w:val="16"/>
              </w:rPr>
              <w:t>1.857,4</w:t>
            </w:r>
          </w:p>
        </w:tc>
        <w:tc>
          <w:tcPr>
            <w:tcW w:w="673" w:type="dxa"/>
            <w:tcBorders>
              <w:top w:val="nil"/>
              <w:left w:val="nil"/>
              <w:bottom w:val="single" w:sz="4" w:space="0" w:color="FFFFFF"/>
              <w:right w:val="nil"/>
            </w:tcBorders>
            <w:shd w:val="clear" w:color="auto" w:fill="auto"/>
            <w:noWrap/>
            <w:vAlign w:val="bottom"/>
            <w:hideMark/>
          </w:tcPr>
          <w:p w14:paraId="46CF32ED" w14:textId="77777777" w:rsidR="004C78C0" w:rsidRPr="008D777B" w:rsidRDefault="004C78C0" w:rsidP="00654255">
            <w:pPr>
              <w:jc w:val="right"/>
              <w:rPr>
                <w:rFonts w:cstheme="minorHAnsi"/>
                <w:color w:val="000000"/>
                <w:sz w:val="16"/>
                <w:szCs w:val="16"/>
              </w:rPr>
            </w:pPr>
            <w:r w:rsidRPr="008D777B">
              <w:rPr>
                <w:color w:val="000000"/>
                <w:sz w:val="16"/>
              </w:rPr>
              <w:t>38,2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5E195A7" w14:textId="77777777" w:rsidR="004C78C0" w:rsidRPr="008D777B" w:rsidRDefault="004C78C0" w:rsidP="00654255">
            <w:pPr>
              <w:jc w:val="right"/>
              <w:rPr>
                <w:rFonts w:cstheme="minorHAnsi"/>
                <w:color w:val="000000"/>
                <w:sz w:val="16"/>
                <w:szCs w:val="16"/>
              </w:rPr>
            </w:pPr>
            <w:r w:rsidRPr="008D777B">
              <w:rPr>
                <w:color w:val="000000"/>
                <w:sz w:val="16"/>
              </w:rPr>
              <w:t>1.391,1</w:t>
            </w:r>
          </w:p>
        </w:tc>
      </w:tr>
      <w:tr w:rsidR="004C78C0" w:rsidRPr="008D777B" w14:paraId="5E5B271E"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5AA2A4D" w14:textId="77777777" w:rsidR="004C78C0" w:rsidRPr="008D777B" w:rsidRDefault="004C78C0" w:rsidP="00654255">
            <w:pPr>
              <w:rPr>
                <w:rFonts w:cstheme="minorHAnsi"/>
                <w:color w:val="000000"/>
                <w:sz w:val="16"/>
                <w:szCs w:val="16"/>
              </w:rPr>
            </w:pPr>
            <w:r w:rsidRPr="008D777B">
              <w:rPr>
                <w:color w:val="000000"/>
                <w:sz w:val="16"/>
              </w:rPr>
              <w:t>Hongrie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C25B865"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990" w:type="dxa"/>
            <w:tcBorders>
              <w:top w:val="nil"/>
              <w:left w:val="nil"/>
              <w:bottom w:val="single" w:sz="4" w:space="0" w:color="FFFFFF"/>
              <w:right w:val="single" w:sz="4" w:space="0" w:color="FFFFFF"/>
            </w:tcBorders>
            <w:shd w:val="clear" w:color="auto" w:fill="auto"/>
            <w:vAlign w:val="bottom"/>
            <w:hideMark/>
          </w:tcPr>
          <w:p w14:paraId="6E1FCE3C" w14:textId="77777777" w:rsidR="004C78C0" w:rsidRPr="008D777B" w:rsidRDefault="004C78C0" w:rsidP="00654255">
            <w:pPr>
              <w:jc w:val="right"/>
              <w:rPr>
                <w:rFonts w:cstheme="minorHAnsi"/>
                <w:color w:val="000000"/>
                <w:sz w:val="16"/>
                <w:szCs w:val="16"/>
              </w:rPr>
            </w:pPr>
            <w:r w:rsidRPr="008D777B">
              <w:rPr>
                <w:color w:val="000000"/>
                <w:sz w:val="16"/>
              </w:rPr>
              <w:t>11.383,7</w:t>
            </w:r>
          </w:p>
        </w:tc>
        <w:tc>
          <w:tcPr>
            <w:tcW w:w="990" w:type="dxa"/>
            <w:tcBorders>
              <w:top w:val="nil"/>
              <w:left w:val="nil"/>
              <w:bottom w:val="single" w:sz="4" w:space="0" w:color="FFFFFF"/>
              <w:right w:val="single" w:sz="4" w:space="0" w:color="FFFFFF"/>
            </w:tcBorders>
            <w:shd w:val="clear" w:color="auto" w:fill="auto"/>
            <w:vAlign w:val="bottom"/>
            <w:hideMark/>
          </w:tcPr>
          <w:p w14:paraId="5537C1F1" w14:textId="77777777" w:rsidR="004C78C0" w:rsidRPr="008D777B" w:rsidRDefault="004C78C0" w:rsidP="00654255">
            <w:pPr>
              <w:jc w:val="right"/>
              <w:rPr>
                <w:rFonts w:cstheme="minorHAnsi"/>
                <w:color w:val="000000"/>
                <w:sz w:val="16"/>
                <w:szCs w:val="16"/>
              </w:rPr>
            </w:pPr>
            <w:r w:rsidRPr="008D777B">
              <w:rPr>
                <w:color w:val="000000"/>
                <w:sz w:val="16"/>
              </w:rPr>
              <w:t>3.213,0</w:t>
            </w:r>
          </w:p>
        </w:tc>
        <w:tc>
          <w:tcPr>
            <w:tcW w:w="673" w:type="dxa"/>
            <w:tcBorders>
              <w:top w:val="nil"/>
              <w:left w:val="nil"/>
              <w:bottom w:val="single" w:sz="4" w:space="0" w:color="FFFFFF"/>
              <w:right w:val="single" w:sz="4" w:space="0" w:color="auto"/>
            </w:tcBorders>
            <w:shd w:val="clear" w:color="auto" w:fill="auto"/>
            <w:noWrap/>
            <w:vAlign w:val="bottom"/>
            <w:hideMark/>
          </w:tcPr>
          <w:p w14:paraId="571814FD" w14:textId="77777777" w:rsidR="004C78C0" w:rsidRPr="008D777B" w:rsidRDefault="004C78C0" w:rsidP="00654255">
            <w:pPr>
              <w:jc w:val="right"/>
              <w:rPr>
                <w:rFonts w:cstheme="minorHAnsi"/>
                <w:color w:val="000000"/>
                <w:sz w:val="16"/>
                <w:szCs w:val="16"/>
              </w:rPr>
            </w:pPr>
            <w:r w:rsidRPr="008D777B">
              <w:rPr>
                <w:color w:val="000000"/>
                <w:sz w:val="16"/>
              </w:rPr>
              <w:t>-71,8</w:t>
            </w:r>
          </w:p>
        </w:tc>
        <w:tc>
          <w:tcPr>
            <w:tcW w:w="829" w:type="dxa"/>
            <w:tcBorders>
              <w:top w:val="nil"/>
              <w:left w:val="nil"/>
              <w:bottom w:val="single" w:sz="4" w:space="0" w:color="FFFFFF"/>
              <w:right w:val="single" w:sz="4" w:space="0" w:color="FFFFFF"/>
            </w:tcBorders>
            <w:shd w:val="clear" w:color="auto" w:fill="auto"/>
            <w:noWrap/>
            <w:vAlign w:val="bottom"/>
            <w:hideMark/>
          </w:tcPr>
          <w:p w14:paraId="51EA10F7"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1B99B284" w14:textId="77777777" w:rsidR="004C78C0" w:rsidRPr="008D777B" w:rsidRDefault="004C78C0" w:rsidP="00654255">
            <w:pPr>
              <w:jc w:val="right"/>
              <w:rPr>
                <w:rFonts w:cstheme="minorHAnsi"/>
                <w:color w:val="000000"/>
                <w:sz w:val="16"/>
                <w:szCs w:val="16"/>
              </w:rPr>
            </w:pPr>
            <w:r w:rsidRPr="008D777B">
              <w:rPr>
                <w:color w:val="000000"/>
                <w:sz w:val="16"/>
              </w:rPr>
              <w:t>1.878,2</w:t>
            </w:r>
          </w:p>
        </w:tc>
        <w:tc>
          <w:tcPr>
            <w:tcW w:w="854" w:type="dxa"/>
            <w:tcBorders>
              <w:top w:val="nil"/>
              <w:left w:val="nil"/>
              <w:bottom w:val="single" w:sz="4" w:space="0" w:color="FFFFFF"/>
              <w:right w:val="single" w:sz="4" w:space="0" w:color="FFFFFF"/>
            </w:tcBorders>
            <w:shd w:val="clear" w:color="auto" w:fill="auto"/>
            <w:noWrap/>
            <w:vAlign w:val="bottom"/>
            <w:hideMark/>
          </w:tcPr>
          <w:p w14:paraId="7262432C" w14:textId="77777777" w:rsidR="004C78C0" w:rsidRPr="008D777B" w:rsidRDefault="004C78C0" w:rsidP="00654255">
            <w:pPr>
              <w:jc w:val="right"/>
              <w:rPr>
                <w:rFonts w:cstheme="minorHAnsi"/>
                <w:color w:val="000000"/>
                <w:sz w:val="16"/>
                <w:szCs w:val="16"/>
              </w:rPr>
            </w:pPr>
            <w:r w:rsidRPr="008D777B">
              <w:rPr>
                <w:color w:val="000000"/>
                <w:sz w:val="16"/>
              </w:rPr>
              <w:t>1.717,6</w:t>
            </w:r>
          </w:p>
        </w:tc>
        <w:tc>
          <w:tcPr>
            <w:tcW w:w="673" w:type="dxa"/>
            <w:tcBorders>
              <w:top w:val="nil"/>
              <w:left w:val="nil"/>
              <w:bottom w:val="single" w:sz="4" w:space="0" w:color="FFFFFF"/>
              <w:right w:val="nil"/>
            </w:tcBorders>
            <w:shd w:val="clear" w:color="auto" w:fill="auto"/>
            <w:noWrap/>
            <w:vAlign w:val="bottom"/>
            <w:hideMark/>
          </w:tcPr>
          <w:p w14:paraId="3EB7EB4A" w14:textId="77777777" w:rsidR="004C78C0" w:rsidRPr="008D777B" w:rsidRDefault="004C78C0" w:rsidP="00654255">
            <w:pPr>
              <w:jc w:val="right"/>
              <w:rPr>
                <w:rFonts w:cstheme="minorHAnsi"/>
                <w:color w:val="000000"/>
                <w:sz w:val="16"/>
                <w:szCs w:val="16"/>
              </w:rPr>
            </w:pPr>
            <w:r w:rsidRPr="008D777B">
              <w:rPr>
                <w:color w:val="000000"/>
                <w:sz w:val="16"/>
              </w:rPr>
              <w:t>-8,6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0CA5CE9" w14:textId="77777777" w:rsidR="004C78C0" w:rsidRPr="008D777B" w:rsidRDefault="004C78C0" w:rsidP="00654255">
            <w:pPr>
              <w:jc w:val="right"/>
              <w:rPr>
                <w:rFonts w:cstheme="minorHAnsi"/>
                <w:color w:val="000000"/>
                <w:sz w:val="16"/>
                <w:szCs w:val="16"/>
              </w:rPr>
            </w:pPr>
            <w:r w:rsidRPr="008D777B">
              <w:rPr>
                <w:color w:val="000000"/>
                <w:sz w:val="16"/>
              </w:rPr>
              <w:t>53,5</w:t>
            </w:r>
          </w:p>
        </w:tc>
      </w:tr>
      <w:tr w:rsidR="004C78C0" w:rsidRPr="008D777B" w14:paraId="4552018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9F886E2" w14:textId="77777777" w:rsidR="004C78C0" w:rsidRPr="008D777B" w:rsidRDefault="004C78C0" w:rsidP="00654255">
            <w:pPr>
              <w:rPr>
                <w:rFonts w:cstheme="minorHAnsi"/>
                <w:color w:val="000000"/>
                <w:sz w:val="16"/>
                <w:szCs w:val="16"/>
              </w:rPr>
            </w:pPr>
            <w:r w:rsidRPr="008D777B">
              <w:rPr>
                <w:color w:val="000000"/>
                <w:sz w:val="16"/>
              </w:rPr>
              <w:t>Estonie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E5B75E6"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15C6E4AE" w14:textId="77777777" w:rsidR="004C78C0" w:rsidRPr="008D777B" w:rsidRDefault="004C78C0" w:rsidP="00654255">
            <w:pPr>
              <w:jc w:val="right"/>
              <w:rPr>
                <w:rFonts w:cstheme="minorHAnsi"/>
                <w:color w:val="000000"/>
                <w:sz w:val="16"/>
                <w:szCs w:val="16"/>
              </w:rPr>
            </w:pPr>
            <w:r w:rsidRPr="008D777B">
              <w:rPr>
                <w:color w:val="000000"/>
                <w:sz w:val="16"/>
              </w:rPr>
              <w:t>1.895,9</w:t>
            </w:r>
          </w:p>
        </w:tc>
        <w:tc>
          <w:tcPr>
            <w:tcW w:w="990" w:type="dxa"/>
            <w:tcBorders>
              <w:top w:val="nil"/>
              <w:left w:val="nil"/>
              <w:bottom w:val="single" w:sz="4" w:space="0" w:color="FFFFFF"/>
              <w:right w:val="single" w:sz="4" w:space="0" w:color="FFFFFF"/>
            </w:tcBorders>
            <w:shd w:val="clear" w:color="auto" w:fill="auto"/>
            <w:vAlign w:val="bottom"/>
            <w:hideMark/>
          </w:tcPr>
          <w:p w14:paraId="0A3F9EE3" w14:textId="77777777" w:rsidR="004C78C0" w:rsidRPr="008D777B" w:rsidRDefault="004C78C0" w:rsidP="00654255">
            <w:pPr>
              <w:jc w:val="right"/>
              <w:rPr>
                <w:rFonts w:cstheme="minorHAnsi"/>
                <w:color w:val="000000"/>
                <w:sz w:val="16"/>
                <w:szCs w:val="16"/>
              </w:rPr>
            </w:pPr>
            <w:r w:rsidRPr="008D777B">
              <w:rPr>
                <w:color w:val="000000"/>
                <w:sz w:val="16"/>
              </w:rPr>
              <w:t>852,1</w:t>
            </w:r>
          </w:p>
        </w:tc>
        <w:tc>
          <w:tcPr>
            <w:tcW w:w="673" w:type="dxa"/>
            <w:tcBorders>
              <w:top w:val="nil"/>
              <w:left w:val="nil"/>
              <w:bottom w:val="single" w:sz="4" w:space="0" w:color="FFFFFF"/>
              <w:right w:val="single" w:sz="4" w:space="0" w:color="auto"/>
            </w:tcBorders>
            <w:shd w:val="clear" w:color="auto" w:fill="auto"/>
            <w:noWrap/>
            <w:vAlign w:val="bottom"/>
            <w:hideMark/>
          </w:tcPr>
          <w:p w14:paraId="45BF1C5E" w14:textId="77777777" w:rsidR="004C78C0" w:rsidRPr="008D777B" w:rsidRDefault="004C78C0" w:rsidP="00654255">
            <w:pPr>
              <w:jc w:val="right"/>
              <w:rPr>
                <w:rFonts w:cstheme="minorHAnsi"/>
                <w:color w:val="000000"/>
                <w:sz w:val="16"/>
                <w:szCs w:val="16"/>
              </w:rPr>
            </w:pPr>
            <w:r w:rsidRPr="008D777B">
              <w:rPr>
                <w:color w:val="000000"/>
                <w:sz w:val="16"/>
              </w:rPr>
              <w:t>-55,1</w:t>
            </w:r>
          </w:p>
        </w:tc>
        <w:tc>
          <w:tcPr>
            <w:tcW w:w="829" w:type="dxa"/>
            <w:tcBorders>
              <w:top w:val="nil"/>
              <w:left w:val="nil"/>
              <w:bottom w:val="single" w:sz="4" w:space="0" w:color="FFFFFF"/>
              <w:right w:val="single" w:sz="4" w:space="0" w:color="FFFFFF"/>
            </w:tcBorders>
            <w:shd w:val="clear" w:color="auto" w:fill="auto"/>
            <w:noWrap/>
            <w:vAlign w:val="bottom"/>
            <w:hideMark/>
          </w:tcPr>
          <w:p w14:paraId="4FB01AF0"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32064C65" w14:textId="77777777" w:rsidR="004C78C0" w:rsidRPr="008D777B" w:rsidRDefault="004C78C0" w:rsidP="00654255">
            <w:pPr>
              <w:jc w:val="right"/>
              <w:rPr>
                <w:rFonts w:cstheme="minorHAnsi"/>
                <w:color w:val="000000"/>
                <w:sz w:val="16"/>
                <w:szCs w:val="16"/>
              </w:rPr>
            </w:pPr>
            <w:r w:rsidRPr="008D777B">
              <w:rPr>
                <w:color w:val="000000"/>
                <w:sz w:val="16"/>
              </w:rPr>
              <w:t>954,5</w:t>
            </w:r>
          </w:p>
        </w:tc>
        <w:tc>
          <w:tcPr>
            <w:tcW w:w="854" w:type="dxa"/>
            <w:tcBorders>
              <w:top w:val="nil"/>
              <w:left w:val="nil"/>
              <w:bottom w:val="single" w:sz="4" w:space="0" w:color="FFFFFF"/>
              <w:right w:val="single" w:sz="4" w:space="0" w:color="FFFFFF"/>
            </w:tcBorders>
            <w:shd w:val="clear" w:color="auto" w:fill="auto"/>
            <w:noWrap/>
            <w:vAlign w:val="bottom"/>
            <w:hideMark/>
          </w:tcPr>
          <w:p w14:paraId="36AD850D" w14:textId="77777777" w:rsidR="004C78C0" w:rsidRPr="008D777B" w:rsidRDefault="004C78C0" w:rsidP="00654255">
            <w:pPr>
              <w:jc w:val="right"/>
              <w:rPr>
                <w:rFonts w:cstheme="minorHAnsi"/>
                <w:color w:val="000000"/>
                <w:sz w:val="16"/>
                <w:szCs w:val="16"/>
              </w:rPr>
            </w:pPr>
            <w:r w:rsidRPr="008D777B">
              <w:rPr>
                <w:color w:val="000000"/>
                <w:sz w:val="16"/>
              </w:rPr>
              <w:t>887,0</w:t>
            </w:r>
          </w:p>
        </w:tc>
        <w:tc>
          <w:tcPr>
            <w:tcW w:w="673" w:type="dxa"/>
            <w:tcBorders>
              <w:top w:val="nil"/>
              <w:left w:val="nil"/>
              <w:bottom w:val="single" w:sz="4" w:space="0" w:color="FFFFFF"/>
              <w:right w:val="nil"/>
            </w:tcBorders>
            <w:shd w:val="clear" w:color="auto" w:fill="auto"/>
            <w:noWrap/>
            <w:vAlign w:val="bottom"/>
            <w:hideMark/>
          </w:tcPr>
          <w:p w14:paraId="39D60CB4" w14:textId="77777777" w:rsidR="004C78C0" w:rsidRPr="008D777B" w:rsidRDefault="004C78C0" w:rsidP="00654255">
            <w:pPr>
              <w:jc w:val="right"/>
              <w:rPr>
                <w:rFonts w:cstheme="minorHAnsi"/>
                <w:color w:val="000000"/>
                <w:sz w:val="16"/>
                <w:szCs w:val="16"/>
              </w:rPr>
            </w:pPr>
            <w:r w:rsidRPr="008D777B">
              <w:rPr>
                <w:color w:val="000000"/>
                <w:sz w:val="16"/>
              </w:rPr>
              <w:t>-7,1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3B22C15" w14:textId="77777777" w:rsidR="004C78C0" w:rsidRPr="008D777B" w:rsidRDefault="004C78C0" w:rsidP="00654255">
            <w:pPr>
              <w:jc w:val="right"/>
              <w:rPr>
                <w:rFonts w:cstheme="minorHAnsi"/>
                <w:color w:val="000000"/>
                <w:sz w:val="16"/>
                <w:szCs w:val="16"/>
              </w:rPr>
            </w:pPr>
            <w:r w:rsidRPr="008D777B">
              <w:rPr>
                <w:color w:val="000000"/>
                <w:sz w:val="16"/>
              </w:rPr>
              <w:t>104,1</w:t>
            </w:r>
          </w:p>
        </w:tc>
      </w:tr>
      <w:tr w:rsidR="004C78C0" w:rsidRPr="008D777B" w14:paraId="368E39DC"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611D1CA" w14:textId="77777777" w:rsidR="004C78C0" w:rsidRPr="008D777B" w:rsidRDefault="004C78C0" w:rsidP="00654255">
            <w:pPr>
              <w:rPr>
                <w:rFonts w:cstheme="minorHAnsi"/>
                <w:color w:val="000000"/>
                <w:sz w:val="16"/>
                <w:szCs w:val="16"/>
              </w:rPr>
            </w:pPr>
            <w:r w:rsidRPr="008D777B">
              <w:rPr>
                <w:color w:val="000000"/>
                <w:sz w:val="16"/>
              </w:rPr>
              <w:t>Chypre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4AA173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C4A4585"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3859C84C" w14:textId="77777777" w:rsidR="004C78C0" w:rsidRPr="008D777B" w:rsidRDefault="004C78C0" w:rsidP="00654255">
            <w:pPr>
              <w:jc w:val="right"/>
              <w:rPr>
                <w:rFonts w:cstheme="minorHAnsi"/>
                <w:color w:val="000000"/>
                <w:sz w:val="16"/>
                <w:szCs w:val="16"/>
              </w:rPr>
            </w:pPr>
            <w:r w:rsidRPr="008D777B">
              <w:rPr>
                <w:color w:val="000000"/>
                <w:sz w:val="16"/>
              </w:rPr>
              <w:t>3,6</w:t>
            </w:r>
          </w:p>
        </w:tc>
        <w:tc>
          <w:tcPr>
            <w:tcW w:w="673" w:type="dxa"/>
            <w:tcBorders>
              <w:top w:val="nil"/>
              <w:left w:val="nil"/>
              <w:bottom w:val="single" w:sz="4" w:space="0" w:color="FFFFFF"/>
              <w:right w:val="single" w:sz="4" w:space="0" w:color="auto"/>
            </w:tcBorders>
            <w:shd w:val="clear" w:color="auto" w:fill="auto"/>
            <w:noWrap/>
            <w:vAlign w:val="bottom"/>
            <w:hideMark/>
          </w:tcPr>
          <w:p w14:paraId="6765E24D" w14:textId="77777777" w:rsidR="004C78C0" w:rsidRPr="008D777B" w:rsidRDefault="004C78C0" w:rsidP="00654255">
            <w:pPr>
              <w:jc w:val="right"/>
              <w:rPr>
                <w:rFonts w:cstheme="minorHAnsi"/>
                <w:color w:val="000000"/>
                <w:sz w:val="16"/>
                <w:szCs w:val="16"/>
              </w:rPr>
            </w:pPr>
            <w:r w:rsidRPr="008D777B">
              <w:rPr>
                <w:color w:val="000000"/>
                <w:sz w:val="16"/>
              </w:rPr>
              <w:t>4.957,7</w:t>
            </w:r>
          </w:p>
        </w:tc>
        <w:tc>
          <w:tcPr>
            <w:tcW w:w="829" w:type="dxa"/>
            <w:tcBorders>
              <w:top w:val="nil"/>
              <w:left w:val="nil"/>
              <w:bottom w:val="single" w:sz="4" w:space="0" w:color="FFFFFF"/>
              <w:right w:val="single" w:sz="4" w:space="0" w:color="FFFFFF"/>
            </w:tcBorders>
            <w:shd w:val="clear" w:color="auto" w:fill="auto"/>
            <w:noWrap/>
            <w:vAlign w:val="bottom"/>
            <w:hideMark/>
          </w:tcPr>
          <w:p w14:paraId="4AA783E1"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177B3BC3" w14:textId="77777777" w:rsidR="004C78C0" w:rsidRPr="008D777B" w:rsidRDefault="004C78C0" w:rsidP="00654255">
            <w:pPr>
              <w:jc w:val="right"/>
              <w:rPr>
                <w:rFonts w:cstheme="minorHAnsi"/>
                <w:color w:val="000000"/>
                <w:sz w:val="16"/>
                <w:szCs w:val="16"/>
              </w:rPr>
            </w:pPr>
            <w:r w:rsidRPr="008D777B">
              <w:rPr>
                <w:color w:val="000000"/>
                <w:sz w:val="16"/>
              </w:rPr>
              <w:t>2.561,4</w:t>
            </w:r>
          </w:p>
        </w:tc>
        <w:tc>
          <w:tcPr>
            <w:tcW w:w="854" w:type="dxa"/>
            <w:tcBorders>
              <w:top w:val="nil"/>
              <w:left w:val="nil"/>
              <w:bottom w:val="single" w:sz="4" w:space="0" w:color="FFFFFF"/>
              <w:right w:val="single" w:sz="4" w:space="0" w:color="FFFFFF"/>
            </w:tcBorders>
            <w:shd w:val="clear" w:color="auto" w:fill="auto"/>
            <w:noWrap/>
            <w:vAlign w:val="bottom"/>
            <w:hideMark/>
          </w:tcPr>
          <w:p w14:paraId="6DB06654" w14:textId="77777777" w:rsidR="004C78C0" w:rsidRPr="008D777B" w:rsidRDefault="004C78C0" w:rsidP="00654255">
            <w:pPr>
              <w:jc w:val="right"/>
              <w:rPr>
                <w:rFonts w:cstheme="minorHAnsi"/>
                <w:color w:val="000000"/>
                <w:sz w:val="16"/>
                <w:szCs w:val="16"/>
              </w:rPr>
            </w:pPr>
            <w:r w:rsidRPr="008D777B">
              <w:rPr>
                <w:color w:val="000000"/>
                <w:sz w:val="16"/>
              </w:rPr>
              <w:t>871,7</w:t>
            </w:r>
          </w:p>
        </w:tc>
        <w:tc>
          <w:tcPr>
            <w:tcW w:w="673" w:type="dxa"/>
            <w:tcBorders>
              <w:top w:val="nil"/>
              <w:left w:val="nil"/>
              <w:bottom w:val="single" w:sz="4" w:space="0" w:color="FFFFFF"/>
              <w:right w:val="nil"/>
            </w:tcBorders>
            <w:shd w:val="clear" w:color="auto" w:fill="auto"/>
            <w:noWrap/>
            <w:vAlign w:val="bottom"/>
            <w:hideMark/>
          </w:tcPr>
          <w:p w14:paraId="23529117" w14:textId="77777777" w:rsidR="004C78C0" w:rsidRPr="008D777B" w:rsidRDefault="004C78C0" w:rsidP="00654255">
            <w:pPr>
              <w:jc w:val="right"/>
              <w:rPr>
                <w:rFonts w:cstheme="minorHAnsi"/>
                <w:color w:val="000000"/>
                <w:sz w:val="16"/>
                <w:szCs w:val="16"/>
              </w:rPr>
            </w:pPr>
            <w:r w:rsidRPr="008D777B">
              <w:rPr>
                <w:color w:val="000000"/>
                <w:sz w:val="16"/>
              </w:rPr>
              <w:t>-66,0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194DA7A" w14:textId="77777777" w:rsidR="004C78C0" w:rsidRPr="008D777B" w:rsidRDefault="004C78C0" w:rsidP="00654255">
            <w:pPr>
              <w:jc w:val="right"/>
              <w:rPr>
                <w:rFonts w:cstheme="minorHAnsi"/>
                <w:color w:val="000000"/>
                <w:sz w:val="16"/>
                <w:szCs w:val="16"/>
              </w:rPr>
            </w:pPr>
            <w:r w:rsidRPr="008D777B">
              <w:rPr>
                <w:color w:val="000000"/>
                <w:sz w:val="16"/>
              </w:rPr>
              <w:t>24.273,8</w:t>
            </w:r>
          </w:p>
        </w:tc>
      </w:tr>
      <w:tr w:rsidR="004C78C0" w:rsidRPr="008D777B" w14:paraId="13C139E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94E87F7" w14:textId="77777777" w:rsidR="004C78C0" w:rsidRPr="008D777B" w:rsidRDefault="004C78C0" w:rsidP="00654255">
            <w:pPr>
              <w:rPr>
                <w:rFonts w:cstheme="minorHAnsi"/>
                <w:color w:val="000000"/>
                <w:sz w:val="16"/>
                <w:szCs w:val="16"/>
              </w:rPr>
            </w:pPr>
            <w:r w:rsidRPr="008D777B">
              <w:rPr>
                <w:color w:val="000000"/>
                <w:sz w:val="16"/>
              </w:rPr>
              <w:lastRenderedPageBreak/>
              <w:t>Slovaquie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4C2B672"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5CDDF13A" w14:textId="77777777" w:rsidR="004C78C0" w:rsidRPr="008D777B" w:rsidRDefault="004C78C0" w:rsidP="00654255">
            <w:pPr>
              <w:jc w:val="right"/>
              <w:rPr>
                <w:rFonts w:cstheme="minorHAnsi"/>
                <w:color w:val="000000"/>
                <w:sz w:val="16"/>
                <w:szCs w:val="16"/>
              </w:rPr>
            </w:pPr>
            <w:r w:rsidRPr="008D777B">
              <w:rPr>
                <w:color w:val="000000"/>
                <w:sz w:val="16"/>
              </w:rPr>
              <w:t>20.506,2</w:t>
            </w:r>
          </w:p>
        </w:tc>
        <w:tc>
          <w:tcPr>
            <w:tcW w:w="990" w:type="dxa"/>
            <w:tcBorders>
              <w:top w:val="nil"/>
              <w:left w:val="nil"/>
              <w:bottom w:val="single" w:sz="4" w:space="0" w:color="FFFFFF"/>
              <w:right w:val="single" w:sz="4" w:space="0" w:color="FFFFFF"/>
            </w:tcBorders>
            <w:shd w:val="clear" w:color="auto" w:fill="auto"/>
            <w:vAlign w:val="bottom"/>
            <w:hideMark/>
          </w:tcPr>
          <w:p w14:paraId="497C38A7" w14:textId="77777777" w:rsidR="004C78C0" w:rsidRPr="008D777B" w:rsidRDefault="004C78C0" w:rsidP="00654255">
            <w:pPr>
              <w:jc w:val="right"/>
              <w:rPr>
                <w:rFonts w:cstheme="minorHAnsi"/>
                <w:color w:val="000000"/>
                <w:sz w:val="16"/>
                <w:szCs w:val="16"/>
              </w:rPr>
            </w:pPr>
            <w:r w:rsidRPr="008D777B">
              <w:rPr>
                <w:color w:val="000000"/>
                <w:sz w:val="16"/>
              </w:rPr>
              <w:t>1.345,6</w:t>
            </w:r>
          </w:p>
        </w:tc>
        <w:tc>
          <w:tcPr>
            <w:tcW w:w="673" w:type="dxa"/>
            <w:tcBorders>
              <w:top w:val="nil"/>
              <w:left w:val="nil"/>
              <w:bottom w:val="single" w:sz="4" w:space="0" w:color="FFFFFF"/>
              <w:right w:val="single" w:sz="4" w:space="0" w:color="auto"/>
            </w:tcBorders>
            <w:shd w:val="clear" w:color="auto" w:fill="auto"/>
            <w:noWrap/>
            <w:vAlign w:val="bottom"/>
            <w:hideMark/>
          </w:tcPr>
          <w:p w14:paraId="3D963ECD" w14:textId="77777777" w:rsidR="004C78C0" w:rsidRPr="008D777B" w:rsidRDefault="004C78C0" w:rsidP="00654255">
            <w:pPr>
              <w:jc w:val="right"/>
              <w:rPr>
                <w:rFonts w:cstheme="minorHAnsi"/>
                <w:color w:val="000000"/>
                <w:sz w:val="16"/>
                <w:szCs w:val="16"/>
              </w:rPr>
            </w:pPr>
            <w:r w:rsidRPr="008D777B">
              <w:rPr>
                <w:color w:val="000000"/>
                <w:sz w:val="16"/>
              </w:rPr>
              <w:t>-93,4</w:t>
            </w:r>
          </w:p>
        </w:tc>
        <w:tc>
          <w:tcPr>
            <w:tcW w:w="829" w:type="dxa"/>
            <w:tcBorders>
              <w:top w:val="nil"/>
              <w:left w:val="nil"/>
              <w:bottom w:val="single" w:sz="4" w:space="0" w:color="FFFFFF"/>
              <w:right w:val="single" w:sz="4" w:space="0" w:color="FFFFFF"/>
            </w:tcBorders>
            <w:shd w:val="clear" w:color="auto" w:fill="auto"/>
            <w:noWrap/>
            <w:vAlign w:val="bottom"/>
            <w:hideMark/>
          </w:tcPr>
          <w:p w14:paraId="47F41A09"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7A97A3C2" w14:textId="77777777" w:rsidR="004C78C0" w:rsidRPr="008D777B" w:rsidRDefault="004C78C0" w:rsidP="00654255">
            <w:pPr>
              <w:jc w:val="right"/>
              <w:rPr>
                <w:rFonts w:cstheme="minorHAnsi"/>
                <w:color w:val="000000"/>
                <w:sz w:val="16"/>
                <w:szCs w:val="16"/>
              </w:rPr>
            </w:pPr>
            <w:r w:rsidRPr="008D777B">
              <w:rPr>
                <w:color w:val="000000"/>
                <w:sz w:val="16"/>
              </w:rPr>
              <w:t>1.052,5</w:t>
            </w:r>
          </w:p>
        </w:tc>
        <w:tc>
          <w:tcPr>
            <w:tcW w:w="854" w:type="dxa"/>
            <w:tcBorders>
              <w:top w:val="nil"/>
              <w:left w:val="nil"/>
              <w:bottom w:val="single" w:sz="4" w:space="0" w:color="FFFFFF"/>
              <w:right w:val="single" w:sz="4" w:space="0" w:color="FFFFFF"/>
            </w:tcBorders>
            <w:shd w:val="clear" w:color="auto" w:fill="auto"/>
            <w:noWrap/>
            <w:vAlign w:val="bottom"/>
            <w:hideMark/>
          </w:tcPr>
          <w:p w14:paraId="2672372C" w14:textId="77777777" w:rsidR="004C78C0" w:rsidRPr="008D777B" w:rsidRDefault="004C78C0" w:rsidP="00654255">
            <w:pPr>
              <w:jc w:val="right"/>
              <w:rPr>
                <w:rFonts w:cstheme="minorHAnsi"/>
                <w:color w:val="000000"/>
                <w:sz w:val="16"/>
                <w:szCs w:val="16"/>
              </w:rPr>
            </w:pPr>
            <w:r w:rsidRPr="008D777B">
              <w:rPr>
                <w:color w:val="000000"/>
                <w:sz w:val="16"/>
              </w:rPr>
              <w:t>860,9</w:t>
            </w:r>
          </w:p>
        </w:tc>
        <w:tc>
          <w:tcPr>
            <w:tcW w:w="673" w:type="dxa"/>
            <w:tcBorders>
              <w:top w:val="nil"/>
              <w:left w:val="nil"/>
              <w:bottom w:val="single" w:sz="4" w:space="0" w:color="FFFFFF"/>
              <w:right w:val="nil"/>
            </w:tcBorders>
            <w:shd w:val="clear" w:color="auto" w:fill="auto"/>
            <w:noWrap/>
            <w:vAlign w:val="bottom"/>
            <w:hideMark/>
          </w:tcPr>
          <w:p w14:paraId="06BB69D5" w14:textId="77777777" w:rsidR="004C78C0" w:rsidRPr="008D777B" w:rsidRDefault="004C78C0" w:rsidP="00654255">
            <w:pPr>
              <w:jc w:val="right"/>
              <w:rPr>
                <w:rFonts w:cstheme="minorHAnsi"/>
                <w:color w:val="000000"/>
                <w:sz w:val="16"/>
                <w:szCs w:val="16"/>
              </w:rPr>
            </w:pPr>
            <w:r w:rsidRPr="008D777B">
              <w:rPr>
                <w:color w:val="000000"/>
                <w:sz w:val="16"/>
              </w:rPr>
              <w:t>-18,2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ED7B17F" w14:textId="77777777" w:rsidR="004C78C0" w:rsidRPr="008D777B" w:rsidRDefault="004C78C0" w:rsidP="00654255">
            <w:pPr>
              <w:jc w:val="right"/>
              <w:rPr>
                <w:rFonts w:cstheme="minorHAnsi"/>
                <w:color w:val="000000"/>
                <w:sz w:val="16"/>
                <w:szCs w:val="16"/>
              </w:rPr>
            </w:pPr>
            <w:r w:rsidRPr="008D777B">
              <w:rPr>
                <w:color w:val="000000"/>
                <w:sz w:val="16"/>
              </w:rPr>
              <w:t>64,0</w:t>
            </w:r>
          </w:p>
        </w:tc>
      </w:tr>
      <w:tr w:rsidR="004C78C0" w:rsidRPr="008D777B" w14:paraId="68AAD20F"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6D7AB9C" w14:textId="77777777" w:rsidR="004C78C0" w:rsidRPr="008D777B" w:rsidRDefault="004C78C0" w:rsidP="00654255">
            <w:pPr>
              <w:rPr>
                <w:rFonts w:cstheme="minorHAnsi"/>
                <w:color w:val="000000"/>
                <w:sz w:val="16"/>
                <w:szCs w:val="16"/>
              </w:rPr>
            </w:pPr>
            <w:r w:rsidRPr="008D777B">
              <w:rPr>
                <w:color w:val="000000"/>
                <w:sz w:val="16"/>
              </w:rPr>
              <w:t>Finlande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ADF6533" w14:textId="77777777" w:rsidR="004C78C0" w:rsidRPr="008D777B" w:rsidRDefault="004C78C0" w:rsidP="00654255">
            <w:pPr>
              <w:jc w:val="right"/>
              <w:rPr>
                <w:rFonts w:cstheme="minorHAnsi"/>
                <w:color w:val="000000"/>
                <w:sz w:val="16"/>
                <w:szCs w:val="16"/>
              </w:rPr>
            </w:pPr>
            <w:r w:rsidRPr="008D777B">
              <w:rPr>
                <w:color w:val="000000"/>
                <w:sz w:val="16"/>
              </w:rPr>
              <w:t>0,3</w:t>
            </w:r>
          </w:p>
        </w:tc>
        <w:tc>
          <w:tcPr>
            <w:tcW w:w="990" w:type="dxa"/>
            <w:tcBorders>
              <w:top w:val="nil"/>
              <w:left w:val="nil"/>
              <w:bottom w:val="single" w:sz="4" w:space="0" w:color="FFFFFF"/>
              <w:right w:val="single" w:sz="4" w:space="0" w:color="FFFFFF"/>
            </w:tcBorders>
            <w:shd w:val="clear" w:color="auto" w:fill="auto"/>
            <w:vAlign w:val="bottom"/>
            <w:hideMark/>
          </w:tcPr>
          <w:p w14:paraId="773A3429" w14:textId="77777777" w:rsidR="004C78C0" w:rsidRPr="008D777B" w:rsidRDefault="004C78C0" w:rsidP="00654255">
            <w:pPr>
              <w:jc w:val="right"/>
              <w:rPr>
                <w:rFonts w:cstheme="minorHAnsi"/>
                <w:color w:val="000000"/>
                <w:sz w:val="16"/>
                <w:szCs w:val="16"/>
              </w:rPr>
            </w:pPr>
            <w:r w:rsidRPr="008D777B">
              <w:rPr>
                <w:color w:val="000000"/>
                <w:sz w:val="16"/>
              </w:rPr>
              <w:t>5.386,7</w:t>
            </w:r>
          </w:p>
        </w:tc>
        <w:tc>
          <w:tcPr>
            <w:tcW w:w="990" w:type="dxa"/>
            <w:tcBorders>
              <w:top w:val="nil"/>
              <w:left w:val="nil"/>
              <w:bottom w:val="single" w:sz="4" w:space="0" w:color="FFFFFF"/>
              <w:right w:val="single" w:sz="4" w:space="0" w:color="FFFFFF"/>
            </w:tcBorders>
            <w:shd w:val="clear" w:color="auto" w:fill="auto"/>
            <w:vAlign w:val="bottom"/>
            <w:hideMark/>
          </w:tcPr>
          <w:p w14:paraId="0EEFF28C" w14:textId="77777777" w:rsidR="004C78C0" w:rsidRPr="008D777B" w:rsidRDefault="004C78C0" w:rsidP="00654255">
            <w:pPr>
              <w:jc w:val="right"/>
              <w:rPr>
                <w:rFonts w:cstheme="minorHAnsi"/>
                <w:color w:val="000000"/>
                <w:sz w:val="16"/>
                <w:szCs w:val="16"/>
              </w:rPr>
            </w:pPr>
            <w:r w:rsidRPr="008D777B">
              <w:rPr>
                <w:color w:val="000000"/>
                <w:sz w:val="16"/>
              </w:rPr>
              <w:t>4.454,9</w:t>
            </w:r>
          </w:p>
        </w:tc>
        <w:tc>
          <w:tcPr>
            <w:tcW w:w="673" w:type="dxa"/>
            <w:tcBorders>
              <w:top w:val="nil"/>
              <w:left w:val="nil"/>
              <w:bottom w:val="single" w:sz="4" w:space="0" w:color="FFFFFF"/>
              <w:right w:val="single" w:sz="4" w:space="0" w:color="auto"/>
            </w:tcBorders>
            <w:shd w:val="clear" w:color="auto" w:fill="auto"/>
            <w:noWrap/>
            <w:vAlign w:val="bottom"/>
            <w:hideMark/>
          </w:tcPr>
          <w:p w14:paraId="26389CD5" w14:textId="77777777" w:rsidR="004C78C0" w:rsidRPr="008D777B" w:rsidRDefault="004C78C0" w:rsidP="00654255">
            <w:pPr>
              <w:jc w:val="right"/>
              <w:rPr>
                <w:rFonts w:cstheme="minorHAnsi"/>
                <w:color w:val="000000"/>
                <w:sz w:val="16"/>
                <w:szCs w:val="16"/>
              </w:rPr>
            </w:pPr>
            <w:r w:rsidRPr="008D777B">
              <w:rPr>
                <w:color w:val="000000"/>
                <w:sz w:val="16"/>
              </w:rPr>
              <w:t>-17,3</w:t>
            </w:r>
          </w:p>
        </w:tc>
        <w:tc>
          <w:tcPr>
            <w:tcW w:w="829" w:type="dxa"/>
            <w:tcBorders>
              <w:top w:val="nil"/>
              <w:left w:val="nil"/>
              <w:bottom w:val="single" w:sz="4" w:space="0" w:color="FFFFFF"/>
              <w:right w:val="single" w:sz="4" w:space="0" w:color="FFFFFF"/>
            </w:tcBorders>
            <w:shd w:val="clear" w:color="auto" w:fill="auto"/>
            <w:noWrap/>
            <w:vAlign w:val="bottom"/>
            <w:hideMark/>
          </w:tcPr>
          <w:p w14:paraId="64E56527"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4F6677D6" w14:textId="77777777" w:rsidR="004C78C0" w:rsidRPr="008D777B" w:rsidRDefault="004C78C0" w:rsidP="00654255">
            <w:pPr>
              <w:jc w:val="right"/>
              <w:rPr>
                <w:rFonts w:cstheme="minorHAnsi"/>
                <w:color w:val="000000"/>
                <w:sz w:val="16"/>
                <w:szCs w:val="16"/>
              </w:rPr>
            </w:pPr>
            <w:r w:rsidRPr="008D777B">
              <w:rPr>
                <w:color w:val="000000"/>
                <w:sz w:val="16"/>
              </w:rPr>
              <w:t>1.003,3</w:t>
            </w:r>
          </w:p>
        </w:tc>
        <w:tc>
          <w:tcPr>
            <w:tcW w:w="854" w:type="dxa"/>
            <w:tcBorders>
              <w:top w:val="nil"/>
              <w:left w:val="nil"/>
              <w:bottom w:val="single" w:sz="4" w:space="0" w:color="FFFFFF"/>
              <w:right w:val="single" w:sz="4" w:space="0" w:color="FFFFFF"/>
            </w:tcBorders>
            <w:shd w:val="clear" w:color="auto" w:fill="auto"/>
            <w:noWrap/>
            <w:vAlign w:val="bottom"/>
            <w:hideMark/>
          </w:tcPr>
          <w:p w14:paraId="29103173" w14:textId="77777777" w:rsidR="004C78C0" w:rsidRPr="008D777B" w:rsidRDefault="004C78C0" w:rsidP="00654255">
            <w:pPr>
              <w:jc w:val="right"/>
              <w:rPr>
                <w:rFonts w:cstheme="minorHAnsi"/>
                <w:color w:val="000000"/>
                <w:sz w:val="16"/>
                <w:szCs w:val="16"/>
              </w:rPr>
            </w:pPr>
            <w:r w:rsidRPr="008D777B">
              <w:rPr>
                <w:color w:val="000000"/>
                <w:sz w:val="16"/>
              </w:rPr>
              <w:t>771,1</w:t>
            </w:r>
          </w:p>
        </w:tc>
        <w:tc>
          <w:tcPr>
            <w:tcW w:w="673" w:type="dxa"/>
            <w:tcBorders>
              <w:top w:val="nil"/>
              <w:left w:val="nil"/>
              <w:bottom w:val="single" w:sz="4" w:space="0" w:color="FFFFFF"/>
              <w:right w:val="nil"/>
            </w:tcBorders>
            <w:shd w:val="clear" w:color="auto" w:fill="auto"/>
            <w:noWrap/>
            <w:vAlign w:val="bottom"/>
            <w:hideMark/>
          </w:tcPr>
          <w:p w14:paraId="6D45C10C" w14:textId="77777777" w:rsidR="004C78C0" w:rsidRPr="008D777B" w:rsidRDefault="004C78C0" w:rsidP="00654255">
            <w:pPr>
              <w:jc w:val="right"/>
              <w:rPr>
                <w:rFonts w:cstheme="minorHAnsi"/>
                <w:color w:val="000000"/>
                <w:sz w:val="16"/>
                <w:szCs w:val="16"/>
              </w:rPr>
            </w:pPr>
            <w:r w:rsidRPr="008D777B">
              <w:rPr>
                <w:color w:val="000000"/>
                <w:sz w:val="16"/>
              </w:rPr>
              <w:t>-23,1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80BD303" w14:textId="77777777" w:rsidR="004C78C0" w:rsidRPr="008D777B" w:rsidRDefault="004C78C0" w:rsidP="00654255">
            <w:pPr>
              <w:jc w:val="right"/>
              <w:rPr>
                <w:rFonts w:cstheme="minorHAnsi"/>
                <w:color w:val="000000"/>
                <w:sz w:val="16"/>
                <w:szCs w:val="16"/>
              </w:rPr>
            </w:pPr>
            <w:r w:rsidRPr="008D777B">
              <w:rPr>
                <w:color w:val="000000"/>
                <w:sz w:val="16"/>
              </w:rPr>
              <w:t>17,3</w:t>
            </w:r>
          </w:p>
        </w:tc>
      </w:tr>
      <w:tr w:rsidR="004C78C0" w:rsidRPr="008D777B" w14:paraId="7A16740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C497D96" w14:textId="77777777" w:rsidR="004C78C0" w:rsidRPr="008D777B" w:rsidRDefault="004C78C0" w:rsidP="00654255">
            <w:pPr>
              <w:rPr>
                <w:rFonts w:cstheme="minorHAnsi"/>
                <w:color w:val="000000"/>
                <w:sz w:val="16"/>
                <w:szCs w:val="16"/>
              </w:rPr>
            </w:pPr>
            <w:r w:rsidRPr="008D777B">
              <w:rPr>
                <w:color w:val="000000"/>
                <w:sz w:val="16"/>
              </w:rPr>
              <w:t>Malte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A63D22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28253AC"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6CD0D316" w14:textId="77777777" w:rsidR="004C78C0" w:rsidRPr="008D777B" w:rsidRDefault="004C78C0" w:rsidP="00654255">
            <w:pPr>
              <w:jc w:val="right"/>
              <w:rPr>
                <w:rFonts w:cstheme="minorHAnsi"/>
                <w:color w:val="000000"/>
                <w:sz w:val="16"/>
                <w:szCs w:val="16"/>
              </w:rPr>
            </w:pPr>
            <w:r w:rsidRPr="008D777B">
              <w:rPr>
                <w:color w:val="000000"/>
                <w:sz w:val="16"/>
              </w:rPr>
              <w:t>2,0</w:t>
            </w:r>
          </w:p>
        </w:tc>
        <w:tc>
          <w:tcPr>
            <w:tcW w:w="673" w:type="dxa"/>
            <w:tcBorders>
              <w:top w:val="nil"/>
              <w:left w:val="nil"/>
              <w:bottom w:val="single" w:sz="4" w:space="0" w:color="FFFFFF"/>
              <w:right w:val="single" w:sz="4" w:space="0" w:color="auto"/>
            </w:tcBorders>
            <w:shd w:val="clear" w:color="auto" w:fill="auto"/>
            <w:noWrap/>
            <w:vAlign w:val="bottom"/>
            <w:hideMark/>
          </w:tcPr>
          <w:p w14:paraId="223ED886" w14:textId="77777777" w:rsidR="004C78C0" w:rsidRPr="008D777B" w:rsidRDefault="004C78C0" w:rsidP="00654255">
            <w:pPr>
              <w:jc w:val="right"/>
              <w:rPr>
                <w:rFonts w:cstheme="minorHAnsi"/>
                <w:color w:val="000000"/>
                <w:sz w:val="16"/>
                <w:szCs w:val="16"/>
              </w:rPr>
            </w:pPr>
            <w:r w:rsidRPr="008D777B">
              <w:rPr>
                <w:color w:val="000000"/>
                <w:sz w:val="16"/>
              </w:rPr>
              <w:t>1.433,3</w:t>
            </w:r>
          </w:p>
        </w:tc>
        <w:tc>
          <w:tcPr>
            <w:tcW w:w="829" w:type="dxa"/>
            <w:tcBorders>
              <w:top w:val="nil"/>
              <w:left w:val="nil"/>
              <w:bottom w:val="single" w:sz="4" w:space="0" w:color="FFFFFF"/>
              <w:right w:val="single" w:sz="4" w:space="0" w:color="FFFFFF"/>
            </w:tcBorders>
            <w:shd w:val="clear" w:color="auto" w:fill="auto"/>
            <w:noWrap/>
            <w:vAlign w:val="bottom"/>
            <w:hideMark/>
          </w:tcPr>
          <w:p w14:paraId="600544F3"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453307ED" w14:textId="77777777" w:rsidR="004C78C0" w:rsidRPr="008D777B" w:rsidRDefault="004C78C0" w:rsidP="00654255">
            <w:pPr>
              <w:jc w:val="right"/>
              <w:rPr>
                <w:rFonts w:cstheme="minorHAnsi"/>
                <w:color w:val="000000"/>
                <w:sz w:val="16"/>
                <w:szCs w:val="16"/>
              </w:rPr>
            </w:pPr>
            <w:r w:rsidRPr="008D777B">
              <w:rPr>
                <w:color w:val="000000"/>
                <w:sz w:val="16"/>
              </w:rPr>
              <w:t>323,1</w:t>
            </w:r>
          </w:p>
        </w:tc>
        <w:tc>
          <w:tcPr>
            <w:tcW w:w="854" w:type="dxa"/>
            <w:tcBorders>
              <w:top w:val="nil"/>
              <w:left w:val="nil"/>
              <w:bottom w:val="single" w:sz="4" w:space="0" w:color="FFFFFF"/>
              <w:right w:val="single" w:sz="4" w:space="0" w:color="FFFFFF"/>
            </w:tcBorders>
            <w:shd w:val="clear" w:color="auto" w:fill="auto"/>
            <w:noWrap/>
            <w:vAlign w:val="bottom"/>
            <w:hideMark/>
          </w:tcPr>
          <w:p w14:paraId="51C3ED48" w14:textId="77777777" w:rsidR="004C78C0" w:rsidRPr="008D777B" w:rsidRDefault="004C78C0" w:rsidP="00654255">
            <w:pPr>
              <w:jc w:val="right"/>
              <w:rPr>
                <w:rFonts w:cstheme="minorHAnsi"/>
                <w:color w:val="000000"/>
                <w:sz w:val="16"/>
                <w:szCs w:val="16"/>
              </w:rPr>
            </w:pPr>
            <w:r w:rsidRPr="008D777B">
              <w:rPr>
                <w:color w:val="000000"/>
                <w:sz w:val="16"/>
              </w:rPr>
              <w:t>525,6</w:t>
            </w:r>
          </w:p>
        </w:tc>
        <w:tc>
          <w:tcPr>
            <w:tcW w:w="673" w:type="dxa"/>
            <w:tcBorders>
              <w:top w:val="nil"/>
              <w:left w:val="nil"/>
              <w:bottom w:val="single" w:sz="4" w:space="0" w:color="FFFFFF"/>
              <w:right w:val="nil"/>
            </w:tcBorders>
            <w:shd w:val="clear" w:color="auto" w:fill="auto"/>
            <w:noWrap/>
            <w:vAlign w:val="bottom"/>
            <w:hideMark/>
          </w:tcPr>
          <w:p w14:paraId="6472C95B" w14:textId="77777777" w:rsidR="004C78C0" w:rsidRPr="008D777B" w:rsidRDefault="004C78C0" w:rsidP="00654255">
            <w:pPr>
              <w:jc w:val="right"/>
              <w:rPr>
                <w:rFonts w:cstheme="minorHAnsi"/>
                <w:color w:val="000000"/>
                <w:sz w:val="16"/>
                <w:szCs w:val="16"/>
              </w:rPr>
            </w:pPr>
            <w:r w:rsidRPr="008D777B">
              <w:rPr>
                <w:color w:val="000000"/>
                <w:sz w:val="16"/>
              </w:rPr>
              <w:t>62,7</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2A39EF9" w14:textId="77777777" w:rsidR="004C78C0" w:rsidRPr="008D777B" w:rsidRDefault="004C78C0" w:rsidP="00654255">
            <w:pPr>
              <w:jc w:val="right"/>
              <w:rPr>
                <w:rFonts w:cstheme="minorHAnsi"/>
                <w:color w:val="000000"/>
                <w:sz w:val="16"/>
                <w:szCs w:val="16"/>
              </w:rPr>
            </w:pPr>
            <w:r w:rsidRPr="008D777B">
              <w:rPr>
                <w:color w:val="000000"/>
                <w:sz w:val="16"/>
              </w:rPr>
              <w:t>26.572,4</w:t>
            </w:r>
          </w:p>
        </w:tc>
      </w:tr>
      <w:tr w:rsidR="004C78C0" w:rsidRPr="008D777B" w14:paraId="61EC1E5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A6ED609" w14:textId="77777777" w:rsidR="004C78C0" w:rsidRPr="008D777B" w:rsidRDefault="004C78C0" w:rsidP="00654255">
            <w:pPr>
              <w:rPr>
                <w:rFonts w:cstheme="minorHAnsi"/>
                <w:color w:val="000000"/>
                <w:sz w:val="16"/>
                <w:szCs w:val="16"/>
              </w:rPr>
            </w:pPr>
            <w:r w:rsidRPr="008D777B">
              <w:rPr>
                <w:color w:val="000000"/>
                <w:sz w:val="16"/>
              </w:rPr>
              <w:t>Slovénie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91603D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C9E3082" w14:textId="77777777" w:rsidR="004C78C0" w:rsidRPr="008D777B" w:rsidRDefault="004C78C0" w:rsidP="00654255">
            <w:pPr>
              <w:jc w:val="right"/>
              <w:rPr>
                <w:rFonts w:cstheme="minorHAnsi"/>
                <w:color w:val="000000"/>
                <w:sz w:val="16"/>
                <w:szCs w:val="16"/>
              </w:rPr>
            </w:pPr>
            <w:r w:rsidRPr="008D777B">
              <w:rPr>
                <w:color w:val="000000"/>
                <w:sz w:val="16"/>
              </w:rPr>
              <w:t>3.053,3</w:t>
            </w:r>
          </w:p>
        </w:tc>
        <w:tc>
          <w:tcPr>
            <w:tcW w:w="990" w:type="dxa"/>
            <w:tcBorders>
              <w:top w:val="nil"/>
              <w:left w:val="nil"/>
              <w:bottom w:val="single" w:sz="4" w:space="0" w:color="FFFFFF"/>
              <w:right w:val="single" w:sz="4" w:space="0" w:color="FFFFFF"/>
            </w:tcBorders>
            <w:shd w:val="clear" w:color="auto" w:fill="auto"/>
            <w:vAlign w:val="bottom"/>
            <w:hideMark/>
          </w:tcPr>
          <w:p w14:paraId="5BB7F086" w14:textId="77777777" w:rsidR="004C78C0" w:rsidRPr="008D777B" w:rsidRDefault="004C78C0" w:rsidP="00654255">
            <w:pPr>
              <w:jc w:val="right"/>
              <w:rPr>
                <w:rFonts w:cstheme="minorHAnsi"/>
                <w:color w:val="000000"/>
                <w:sz w:val="16"/>
                <w:szCs w:val="16"/>
              </w:rPr>
            </w:pPr>
            <w:r w:rsidRPr="008D777B">
              <w:rPr>
                <w:color w:val="000000"/>
                <w:sz w:val="16"/>
              </w:rPr>
              <w:t>505,7</w:t>
            </w:r>
          </w:p>
        </w:tc>
        <w:tc>
          <w:tcPr>
            <w:tcW w:w="673" w:type="dxa"/>
            <w:tcBorders>
              <w:top w:val="nil"/>
              <w:left w:val="nil"/>
              <w:bottom w:val="single" w:sz="4" w:space="0" w:color="FFFFFF"/>
              <w:right w:val="single" w:sz="4" w:space="0" w:color="auto"/>
            </w:tcBorders>
            <w:shd w:val="clear" w:color="auto" w:fill="auto"/>
            <w:noWrap/>
            <w:vAlign w:val="bottom"/>
            <w:hideMark/>
          </w:tcPr>
          <w:p w14:paraId="3A9323EA" w14:textId="77777777" w:rsidR="004C78C0" w:rsidRPr="008D777B" w:rsidRDefault="004C78C0" w:rsidP="00654255">
            <w:pPr>
              <w:jc w:val="right"/>
              <w:rPr>
                <w:rFonts w:cstheme="minorHAnsi"/>
                <w:color w:val="000000"/>
                <w:sz w:val="16"/>
                <w:szCs w:val="16"/>
              </w:rPr>
            </w:pPr>
            <w:r w:rsidRPr="008D777B">
              <w:rPr>
                <w:color w:val="000000"/>
                <w:sz w:val="16"/>
              </w:rPr>
              <w:t>-83,4</w:t>
            </w:r>
          </w:p>
        </w:tc>
        <w:tc>
          <w:tcPr>
            <w:tcW w:w="829" w:type="dxa"/>
            <w:tcBorders>
              <w:top w:val="nil"/>
              <w:left w:val="nil"/>
              <w:bottom w:val="single" w:sz="4" w:space="0" w:color="FFFFFF"/>
              <w:right w:val="single" w:sz="4" w:space="0" w:color="FFFFFF"/>
            </w:tcBorders>
            <w:shd w:val="clear" w:color="auto" w:fill="auto"/>
            <w:noWrap/>
            <w:vAlign w:val="bottom"/>
            <w:hideMark/>
          </w:tcPr>
          <w:p w14:paraId="39D59CAD"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52E87C6D" w14:textId="77777777" w:rsidR="004C78C0" w:rsidRPr="008D777B" w:rsidRDefault="004C78C0" w:rsidP="00654255">
            <w:pPr>
              <w:jc w:val="right"/>
              <w:rPr>
                <w:rFonts w:cstheme="minorHAnsi"/>
                <w:color w:val="000000"/>
                <w:sz w:val="16"/>
                <w:szCs w:val="16"/>
              </w:rPr>
            </w:pPr>
            <w:r w:rsidRPr="008D777B">
              <w:rPr>
                <w:color w:val="000000"/>
                <w:sz w:val="16"/>
              </w:rPr>
              <w:t>277,3</w:t>
            </w:r>
          </w:p>
        </w:tc>
        <w:tc>
          <w:tcPr>
            <w:tcW w:w="854" w:type="dxa"/>
            <w:tcBorders>
              <w:top w:val="nil"/>
              <w:left w:val="nil"/>
              <w:bottom w:val="single" w:sz="4" w:space="0" w:color="FFFFFF"/>
              <w:right w:val="single" w:sz="4" w:space="0" w:color="FFFFFF"/>
            </w:tcBorders>
            <w:shd w:val="clear" w:color="auto" w:fill="auto"/>
            <w:noWrap/>
            <w:vAlign w:val="bottom"/>
            <w:hideMark/>
          </w:tcPr>
          <w:p w14:paraId="3BFA4ACC" w14:textId="77777777" w:rsidR="004C78C0" w:rsidRPr="008D777B" w:rsidRDefault="004C78C0" w:rsidP="00654255">
            <w:pPr>
              <w:jc w:val="right"/>
              <w:rPr>
                <w:rFonts w:cstheme="minorHAnsi"/>
                <w:color w:val="000000"/>
                <w:sz w:val="16"/>
                <w:szCs w:val="16"/>
              </w:rPr>
            </w:pPr>
            <w:r w:rsidRPr="008D777B">
              <w:rPr>
                <w:color w:val="000000"/>
                <w:sz w:val="16"/>
              </w:rPr>
              <w:t>501,8</w:t>
            </w:r>
          </w:p>
        </w:tc>
        <w:tc>
          <w:tcPr>
            <w:tcW w:w="673" w:type="dxa"/>
            <w:tcBorders>
              <w:top w:val="nil"/>
              <w:left w:val="nil"/>
              <w:bottom w:val="single" w:sz="4" w:space="0" w:color="FFFFFF"/>
              <w:right w:val="nil"/>
            </w:tcBorders>
            <w:shd w:val="clear" w:color="auto" w:fill="auto"/>
            <w:noWrap/>
            <w:vAlign w:val="bottom"/>
            <w:hideMark/>
          </w:tcPr>
          <w:p w14:paraId="0C144EDA" w14:textId="77777777" w:rsidR="004C78C0" w:rsidRPr="008D777B" w:rsidRDefault="004C78C0" w:rsidP="00654255">
            <w:pPr>
              <w:jc w:val="right"/>
              <w:rPr>
                <w:rFonts w:cstheme="minorHAnsi"/>
                <w:color w:val="000000"/>
                <w:sz w:val="16"/>
                <w:szCs w:val="16"/>
              </w:rPr>
            </w:pPr>
            <w:r w:rsidRPr="008D777B">
              <w:rPr>
                <w:color w:val="000000"/>
                <w:sz w:val="16"/>
              </w:rPr>
              <w:t>80,9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221B367" w14:textId="77777777" w:rsidR="004C78C0" w:rsidRPr="008D777B" w:rsidRDefault="004C78C0" w:rsidP="00654255">
            <w:pPr>
              <w:jc w:val="right"/>
              <w:rPr>
                <w:rFonts w:cstheme="minorHAnsi"/>
                <w:color w:val="000000"/>
                <w:sz w:val="16"/>
                <w:szCs w:val="16"/>
              </w:rPr>
            </w:pPr>
            <w:r w:rsidRPr="008D777B">
              <w:rPr>
                <w:color w:val="000000"/>
                <w:sz w:val="16"/>
              </w:rPr>
              <w:t>99,2</w:t>
            </w:r>
          </w:p>
        </w:tc>
      </w:tr>
      <w:tr w:rsidR="004C78C0" w:rsidRPr="008D777B" w14:paraId="3F51DFD5"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A555BC8" w14:textId="77777777" w:rsidR="004C78C0" w:rsidRPr="008D777B" w:rsidRDefault="004C78C0" w:rsidP="00654255">
            <w:pPr>
              <w:rPr>
                <w:rFonts w:cstheme="minorHAnsi"/>
                <w:color w:val="000000"/>
                <w:sz w:val="16"/>
                <w:szCs w:val="16"/>
              </w:rPr>
            </w:pPr>
            <w:r w:rsidRPr="008D777B">
              <w:rPr>
                <w:color w:val="000000"/>
                <w:sz w:val="16"/>
              </w:rPr>
              <w:t>Croatie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7AEE68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BCE2E26" w14:textId="77777777" w:rsidR="004C78C0" w:rsidRPr="008D777B" w:rsidRDefault="004C78C0" w:rsidP="00654255">
            <w:pPr>
              <w:jc w:val="right"/>
              <w:rPr>
                <w:rFonts w:cstheme="minorHAnsi"/>
                <w:color w:val="000000"/>
                <w:sz w:val="16"/>
                <w:szCs w:val="16"/>
              </w:rPr>
            </w:pPr>
            <w:r w:rsidRPr="008D777B">
              <w:rPr>
                <w:color w:val="000000"/>
                <w:sz w:val="16"/>
              </w:rPr>
              <w:t>598,6</w:t>
            </w:r>
          </w:p>
        </w:tc>
        <w:tc>
          <w:tcPr>
            <w:tcW w:w="990" w:type="dxa"/>
            <w:tcBorders>
              <w:top w:val="nil"/>
              <w:left w:val="nil"/>
              <w:bottom w:val="single" w:sz="4" w:space="0" w:color="FFFFFF"/>
              <w:right w:val="single" w:sz="4" w:space="0" w:color="FFFFFF"/>
            </w:tcBorders>
            <w:shd w:val="clear" w:color="auto" w:fill="auto"/>
            <w:vAlign w:val="bottom"/>
            <w:hideMark/>
          </w:tcPr>
          <w:p w14:paraId="7FCD1356" w14:textId="77777777" w:rsidR="004C78C0" w:rsidRPr="008D777B" w:rsidRDefault="004C78C0" w:rsidP="00654255">
            <w:pPr>
              <w:jc w:val="right"/>
              <w:rPr>
                <w:rFonts w:cstheme="minorHAnsi"/>
                <w:color w:val="000000"/>
                <w:sz w:val="16"/>
                <w:szCs w:val="16"/>
              </w:rPr>
            </w:pPr>
            <w:r w:rsidRPr="008D777B">
              <w:rPr>
                <w:color w:val="000000"/>
                <w:sz w:val="16"/>
              </w:rPr>
              <w:t>714,3</w:t>
            </w:r>
          </w:p>
        </w:tc>
        <w:tc>
          <w:tcPr>
            <w:tcW w:w="673" w:type="dxa"/>
            <w:tcBorders>
              <w:top w:val="nil"/>
              <w:left w:val="nil"/>
              <w:bottom w:val="single" w:sz="4" w:space="0" w:color="FFFFFF"/>
              <w:right w:val="single" w:sz="4" w:space="0" w:color="auto"/>
            </w:tcBorders>
            <w:shd w:val="clear" w:color="auto" w:fill="auto"/>
            <w:noWrap/>
            <w:vAlign w:val="bottom"/>
            <w:hideMark/>
          </w:tcPr>
          <w:p w14:paraId="796BB889" w14:textId="77777777" w:rsidR="004C78C0" w:rsidRPr="008D777B" w:rsidRDefault="004C78C0" w:rsidP="00654255">
            <w:pPr>
              <w:jc w:val="right"/>
              <w:rPr>
                <w:rFonts w:cstheme="minorHAnsi"/>
                <w:color w:val="000000"/>
                <w:sz w:val="16"/>
                <w:szCs w:val="16"/>
              </w:rPr>
            </w:pPr>
            <w:r w:rsidRPr="008D777B">
              <w:rPr>
                <w:color w:val="000000"/>
                <w:sz w:val="16"/>
              </w:rPr>
              <w:t>19,3</w:t>
            </w:r>
          </w:p>
        </w:tc>
        <w:tc>
          <w:tcPr>
            <w:tcW w:w="829" w:type="dxa"/>
            <w:tcBorders>
              <w:top w:val="nil"/>
              <w:left w:val="nil"/>
              <w:bottom w:val="single" w:sz="4" w:space="0" w:color="FFFFFF"/>
              <w:right w:val="single" w:sz="4" w:space="0" w:color="FFFFFF"/>
            </w:tcBorders>
            <w:shd w:val="clear" w:color="auto" w:fill="auto"/>
            <w:noWrap/>
            <w:vAlign w:val="bottom"/>
            <w:hideMark/>
          </w:tcPr>
          <w:p w14:paraId="349347F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113DCE97" w14:textId="77777777" w:rsidR="004C78C0" w:rsidRPr="008D777B" w:rsidRDefault="004C78C0" w:rsidP="00654255">
            <w:pPr>
              <w:jc w:val="right"/>
              <w:rPr>
                <w:rFonts w:cstheme="minorHAnsi"/>
                <w:color w:val="000000"/>
                <w:sz w:val="16"/>
                <w:szCs w:val="16"/>
              </w:rPr>
            </w:pPr>
            <w:r w:rsidRPr="008D777B">
              <w:rPr>
                <w:color w:val="000000"/>
                <w:sz w:val="16"/>
              </w:rPr>
              <w:t>306,6</w:t>
            </w:r>
          </w:p>
        </w:tc>
        <w:tc>
          <w:tcPr>
            <w:tcW w:w="854" w:type="dxa"/>
            <w:tcBorders>
              <w:top w:val="nil"/>
              <w:left w:val="nil"/>
              <w:bottom w:val="single" w:sz="4" w:space="0" w:color="FFFFFF"/>
              <w:right w:val="single" w:sz="4" w:space="0" w:color="FFFFFF"/>
            </w:tcBorders>
            <w:shd w:val="clear" w:color="auto" w:fill="auto"/>
            <w:noWrap/>
            <w:vAlign w:val="bottom"/>
            <w:hideMark/>
          </w:tcPr>
          <w:p w14:paraId="0B2B3F3D" w14:textId="77777777" w:rsidR="004C78C0" w:rsidRPr="008D777B" w:rsidRDefault="004C78C0" w:rsidP="00654255">
            <w:pPr>
              <w:jc w:val="right"/>
              <w:rPr>
                <w:rFonts w:cstheme="minorHAnsi"/>
                <w:color w:val="000000"/>
                <w:sz w:val="16"/>
                <w:szCs w:val="16"/>
              </w:rPr>
            </w:pPr>
            <w:r w:rsidRPr="008D777B">
              <w:rPr>
                <w:color w:val="000000"/>
                <w:sz w:val="16"/>
              </w:rPr>
              <w:t>414,4</w:t>
            </w:r>
          </w:p>
        </w:tc>
        <w:tc>
          <w:tcPr>
            <w:tcW w:w="673" w:type="dxa"/>
            <w:tcBorders>
              <w:top w:val="nil"/>
              <w:left w:val="nil"/>
              <w:bottom w:val="single" w:sz="4" w:space="0" w:color="FFFFFF"/>
              <w:right w:val="nil"/>
            </w:tcBorders>
            <w:shd w:val="clear" w:color="auto" w:fill="auto"/>
            <w:noWrap/>
            <w:vAlign w:val="bottom"/>
            <w:hideMark/>
          </w:tcPr>
          <w:p w14:paraId="1525CC79" w14:textId="77777777" w:rsidR="004C78C0" w:rsidRPr="008D777B" w:rsidRDefault="004C78C0" w:rsidP="00654255">
            <w:pPr>
              <w:jc w:val="right"/>
              <w:rPr>
                <w:rFonts w:cstheme="minorHAnsi"/>
                <w:color w:val="000000"/>
                <w:sz w:val="16"/>
                <w:szCs w:val="16"/>
              </w:rPr>
            </w:pPr>
            <w:r w:rsidRPr="008D777B">
              <w:rPr>
                <w:color w:val="000000"/>
                <w:sz w:val="16"/>
              </w:rPr>
              <w:t>35,1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621F21B" w14:textId="77777777" w:rsidR="004C78C0" w:rsidRPr="008D777B" w:rsidRDefault="004C78C0" w:rsidP="00654255">
            <w:pPr>
              <w:jc w:val="right"/>
              <w:rPr>
                <w:rFonts w:cstheme="minorHAnsi"/>
                <w:color w:val="000000"/>
                <w:sz w:val="16"/>
                <w:szCs w:val="16"/>
              </w:rPr>
            </w:pPr>
            <w:r w:rsidRPr="008D777B">
              <w:rPr>
                <w:color w:val="000000"/>
                <w:sz w:val="16"/>
              </w:rPr>
              <w:t>58,0</w:t>
            </w:r>
          </w:p>
        </w:tc>
      </w:tr>
      <w:tr w:rsidR="004C78C0" w:rsidRPr="008D777B" w14:paraId="02BC3C65"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304C90B" w14:textId="77777777" w:rsidR="004C78C0" w:rsidRPr="008D777B" w:rsidRDefault="004C78C0" w:rsidP="00654255">
            <w:pPr>
              <w:rPr>
                <w:rFonts w:cstheme="minorHAnsi"/>
                <w:color w:val="000000"/>
                <w:sz w:val="16"/>
                <w:szCs w:val="16"/>
              </w:rPr>
            </w:pPr>
            <w:r w:rsidRPr="008D777B">
              <w:rPr>
                <w:color w:val="000000"/>
                <w:sz w:val="16"/>
              </w:rPr>
              <w:t>Bulgarie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9A17C98"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990" w:type="dxa"/>
            <w:tcBorders>
              <w:top w:val="nil"/>
              <w:left w:val="nil"/>
              <w:bottom w:val="single" w:sz="4" w:space="0" w:color="FFFFFF"/>
              <w:right w:val="single" w:sz="4" w:space="0" w:color="FFFFFF"/>
            </w:tcBorders>
            <w:shd w:val="clear" w:color="auto" w:fill="auto"/>
            <w:vAlign w:val="bottom"/>
            <w:hideMark/>
          </w:tcPr>
          <w:p w14:paraId="3335A5A4" w14:textId="77777777" w:rsidR="004C78C0" w:rsidRPr="008D777B" w:rsidRDefault="004C78C0" w:rsidP="00654255">
            <w:pPr>
              <w:jc w:val="right"/>
              <w:rPr>
                <w:rFonts w:cstheme="minorHAnsi"/>
                <w:color w:val="000000"/>
                <w:sz w:val="16"/>
                <w:szCs w:val="16"/>
              </w:rPr>
            </w:pPr>
            <w:r w:rsidRPr="008D777B">
              <w:rPr>
                <w:color w:val="000000"/>
                <w:sz w:val="16"/>
              </w:rPr>
              <w:t>1.229,6</w:t>
            </w:r>
          </w:p>
        </w:tc>
        <w:tc>
          <w:tcPr>
            <w:tcW w:w="990" w:type="dxa"/>
            <w:tcBorders>
              <w:top w:val="nil"/>
              <w:left w:val="nil"/>
              <w:bottom w:val="single" w:sz="4" w:space="0" w:color="FFFFFF"/>
              <w:right w:val="single" w:sz="4" w:space="0" w:color="FFFFFF"/>
            </w:tcBorders>
            <w:shd w:val="clear" w:color="auto" w:fill="auto"/>
            <w:vAlign w:val="bottom"/>
            <w:hideMark/>
          </w:tcPr>
          <w:p w14:paraId="2C2056ED" w14:textId="77777777" w:rsidR="004C78C0" w:rsidRPr="008D777B" w:rsidRDefault="004C78C0" w:rsidP="00654255">
            <w:pPr>
              <w:jc w:val="right"/>
              <w:rPr>
                <w:rFonts w:cstheme="minorHAnsi"/>
                <w:color w:val="000000"/>
                <w:sz w:val="16"/>
                <w:szCs w:val="16"/>
              </w:rPr>
            </w:pPr>
            <w:r w:rsidRPr="008D777B">
              <w:rPr>
                <w:color w:val="000000"/>
                <w:sz w:val="16"/>
              </w:rPr>
              <w:t>2.446,5</w:t>
            </w:r>
          </w:p>
        </w:tc>
        <w:tc>
          <w:tcPr>
            <w:tcW w:w="673" w:type="dxa"/>
            <w:tcBorders>
              <w:top w:val="nil"/>
              <w:left w:val="nil"/>
              <w:bottom w:val="single" w:sz="4" w:space="0" w:color="FFFFFF"/>
              <w:right w:val="single" w:sz="4" w:space="0" w:color="auto"/>
            </w:tcBorders>
            <w:shd w:val="clear" w:color="auto" w:fill="auto"/>
            <w:noWrap/>
            <w:vAlign w:val="bottom"/>
            <w:hideMark/>
          </w:tcPr>
          <w:p w14:paraId="6FB38D79" w14:textId="77777777" w:rsidR="004C78C0" w:rsidRPr="008D777B" w:rsidRDefault="004C78C0" w:rsidP="00654255">
            <w:pPr>
              <w:jc w:val="right"/>
              <w:rPr>
                <w:rFonts w:cstheme="minorHAnsi"/>
                <w:color w:val="000000"/>
                <w:sz w:val="16"/>
                <w:szCs w:val="16"/>
              </w:rPr>
            </w:pPr>
            <w:r w:rsidRPr="008D777B">
              <w:rPr>
                <w:color w:val="000000"/>
                <w:sz w:val="16"/>
              </w:rPr>
              <w:t>99,0</w:t>
            </w:r>
          </w:p>
        </w:tc>
        <w:tc>
          <w:tcPr>
            <w:tcW w:w="829" w:type="dxa"/>
            <w:tcBorders>
              <w:top w:val="nil"/>
              <w:left w:val="nil"/>
              <w:bottom w:val="single" w:sz="4" w:space="0" w:color="FFFFFF"/>
              <w:right w:val="single" w:sz="4" w:space="0" w:color="FFFFFF"/>
            </w:tcBorders>
            <w:shd w:val="clear" w:color="auto" w:fill="auto"/>
            <w:noWrap/>
            <w:vAlign w:val="bottom"/>
            <w:hideMark/>
          </w:tcPr>
          <w:p w14:paraId="564750D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08F4577E" w14:textId="77777777" w:rsidR="004C78C0" w:rsidRPr="008D777B" w:rsidRDefault="004C78C0" w:rsidP="00654255">
            <w:pPr>
              <w:jc w:val="right"/>
              <w:rPr>
                <w:rFonts w:cstheme="minorHAnsi"/>
                <w:color w:val="000000"/>
                <w:sz w:val="16"/>
                <w:szCs w:val="16"/>
              </w:rPr>
            </w:pPr>
            <w:r w:rsidRPr="008D777B">
              <w:rPr>
                <w:color w:val="000000"/>
                <w:sz w:val="16"/>
              </w:rPr>
              <w:t>515,5</w:t>
            </w:r>
          </w:p>
        </w:tc>
        <w:tc>
          <w:tcPr>
            <w:tcW w:w="854" w:type="dxa"/>
            <w:tcBorders>
              <w:top w:val="nil"/>
              <w:left w:val="nil"/>
              <w:bottom w:val="single" w:sz="4" w:space="0" w:color="FFFFFF"/>
              <w:right w:val="single" w:sz="4" w:space="0" w:color="FFFFFF"/>
            </w:tcBorders>
            <w:shd w:val="clear" w:color="auto" w:fill="auto"/>
            <w:noWrap/>
            <w:vAlign w:val="bottom"/>
            <w:hideMark/>
          </w:tcPr>
          <w:p w14:paraId="20CD3007" w14:textId="77777777" w:rsidR="004C78C0" w:rsidRPr="008D777B" w:rsidRDefault="004C78C0" w:rsidP="00654255">
            <w:pPr>
              <w:jc w:val="right"/>
              <w:rPr>
                <w:rFonts w:cstheme="minorHAnsi"/>
                <w:color w:val="000000"/>
                <w:sz w:val="16"/>
                <w:szCs w:val="16"/>
              </w:rPr>
            </w:pPr>
            <w:r w:rsidRPr="008D777B">
              <w:rPr>
                <w:color w:val="000000"/>
                <w:sz w:val="16"/>
              </w:rPr>
              <w:t>405,9</w:t>
            </w:r>
          </w:p>
        </w:tc>
        <w:tc>
          <w:tcPr>
            <w:tcW w:w="673" w:type="dxa"/>
            <w:tcBorders>
              <w:top w:val="nil"/>
              <w:left w:val="nil"/>
              <w:bottom w:val="single" w:sz="4" w:space="0" w:color="FFFFFF"/>
              <w:right w:val="nil"/>
            </w:tcBorders>
            <w:shd w:val="clear" w:color="auto" w:fill="auto"/>
            <w:noWrap/>
            <w:vAlign w:val="bottom"/>
            <w:hideMark/>
          </w:tcPr>
          <w:p w14:paraId="7AB8394E" w14:textId="77777777" w:rsidR="004C78C0" w:rsidRPr="008D777B" w:rsidRDefault="004C78C0" w:rsidP="00654255">
            <w:pPr>
              <w:jc w:val="right"/>
              <w:rPr>
                <w:rFonts w:cstheme="minorHAnsi"/>
                <w:color w:val="000000"/>
                <w:sz w:val="16"/>
                <w:szCs w:val="16"/>
              </w:rPr>
            </w:pPr>
            <w:r w:rsidRPr="008D777B">
              <w:rPr>
                <w:color w:val="000000"/>
                <w:sz w:val="16"/>
              </w:rPr>
              <w:t>-21,3</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87B7175" w14:textId="77777777" w:rsidR="004C78C0" w:rsidRPr="008D777B" w:rsidRDefault="004C78C0" w:rsidP="00654255">
            <w:pPr>
              <w:jc w:val="right"/>
              <w:rPr>
                <w:rFonts w:cstheme="minorHAnsi"/>
                <w:color w:val="000000"/>
                <w:sz w:val="16"/>
                <w:szCs w:val="16"/>
              </w:rPr>
            </w:pPr>
            <w:r w:rsidRPr="008D777B">
              <w:rPr>
                <w:color w:val="000000"/>
                <w:sz w:val="16"/>
              </w:rPr>
              <w:t>16,6</w:t>
            </w:r>
          </w:p>
        </w:tc>
      </w:tr>
      <w:tr w:rsidR="004C78C0" w:rsidRPr="008D777B" w14:paraId="7355DCD4"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A65AC96" w14:textId="77777777" w:rsidR="004C78C0" w:rsidRPr="008D777B" w:rsidRDefault="004C78C0" w:rsidP="00654255">
            <w:pPr>
              <w:rPr>
                <w:rFonts w:cstheme="minorHAnsi"/>
                <w:color w:val="000000"/>
                <w:sz w:val="16"/>
                <w:szCs w:val="16"/>
              </w:rPr>
            </w:pPr>
            <w:r w:rsidRPr="008D777B">
              <w:rPr>
                <w:color w:val="000000"/>
                <w:sz w:val="16"/>
              </w:rPr>
              <w:t>Lettonie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99AAB5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DAB356F" w14:textId="77777777" w:rsidR="004C78C0" w:rsidRPr="008D777B" w:rsidRDefault="004C78C0" w:rsidP="00654255">
            <w:pPr>
              <w:jc w:val="right"/>
              <w:rPr>
                <w:rFonts w:cstheme="minorHAnsi"/>
                <w:color w:val="000000"/>
                <w:sz w:val="16"/>
                <w:szCs w:val="16"/>
              </w:rPr>
            </w:pPr>
            <w:r w:rsidRPr="008D777B">
              <w:rPr>
                <w:color w:val="000000"/>
                <w:sz w:val="16"/>
              </w:rPr>
              <w:t>61,3</w:t>
            </w:r>
          </w:p>
        </w:tc>
        <w:tc>
          <w:tcPr>
            <w:tcW w:w="990" w:type="dxa"/>
            <w:tcBorders>
              <w:top w:val="nil"/>
              <w:left w:val="nil"/>
              <w:bottom w:val="single" w:sz="4" w:space="0" w:color="FFFFFF"/>
              <w:right w:val="single" w:sz="4" w:space="0" w:color="FFFFFF"/>
            </w:tcBorders>
            <w:shd w:val="clear" w:color="auto" w:fill="auto"/>
            <w:vAlign w:val="bottom"/>
            <w:hideMark/>
          </w:tcPr>
          <w:p w14:paraId="6C2DA6FB" w14:textId="77777777" w:rsidR="004C78C0" w:rsidRPr="008D777B" w:rsidRDefault="004C78C0" w:rsidP="00654255">
            <w:pPr>
              <w:jc w:val="right"/>
              <w:rPr>
                <w:rFonts w:cstheme="minorHAnsi"/>
                <w:color w:val="000000"/>
                <w:sz w:val="16"/>
                <w:szCs w:val="16"/>
              </w:rPr>
            </w:pPr>
            <w:r w:rsidRPr="008D777B">
              <w:rPr>
                <w:color w:val="000000"/>
                <w:sz w:val="16"/>
              </w:rPr>
              <w:t>107,3</w:t>
            </w:r>
          </w:p>
        </w:tc>
        <w:tc>
          <w:tcPr>
            <w:tcW w:w="673" w:type="dxa"/>
            <w:tcBorders>
              <w:top w:val="nil"/>
              <w:left w:val="nil"/>
              <w:bottom w:val="single" w:sz="4" w:space="0" w:color="FFFFFF"/>
              <w:right w:val="single" w:sz="4" w:space="0" w:color="auto"/>
            </w:tcBorders>
            <w:shd w:val="clear" w:color="auto" w:fill="auto"/>
            <w:noWrap/>
            <w:vAlign w:val="bottom"/>
            <w:hideMark/>
          </w:tcPr>
          <w:p w14:paraId="2E6BEC36" w14:textId="77777777" w:rsidR="004C78C0" w:rsidRPr="008D777B" w:rsidRDefault="004C78C0" w:rsidP="00654255">
            <w:pPr>
              <w:jc w:val="right"/>
              <w:rPr>
                <w:rFonts w:cstheme="minorHAnsi"/>
                <w:color w:val="000000"/>
                <w:sz w:val="16"/>
                <w:szCs w:val="16"/>
              </w:rPr>
            </w:pPr>
            <w:r w:rsidRPr="008D777B">
              <w:rPr>
                <w:color w:val="000000"/>
                <w:sz w:val="16"/>
              </w:rPr>
              <w:t>74,9</w:t>
            </w:r>
          </w:p>
        </w:tc>
        <w:tc>
          <w:tcPr>
            <w:tcW w:w="829" w:type="dxa"/>
            <w:tcBorders>
              <w:top w:val="nil"/>
              <w:left w:val="nil"/>
              <w:bottom w:val="single" w:sz="4" w:space="0" w:color="FFFFFF"/>
              <w:right w:val="single" w:sz="4" w:space="0" w:color="FFFFFF"/>
            </w:tcBorders>
            <w:shd w:val="clear" w:color="auto" w:fill="auto"/>
            <w:noWrap/>
            <w:vAlign w:val="bottom"/>
            <w:hideMark/>
          </w:tcPr>
          <w:p w14:paraId="7D51A55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041C125" w14:textId="77777777" w:rsidR="004C78C0" w:rsidRPr="008D777B" w:rsidRDefault="004C78C0" w:rsidP="00654255">
            <w:pPr>
              <w:jc w:val="right"/>
              <w:rPr>
                <w:rFonts w:cstheme="minorHAnsi"/>
                <w:color w:val="000000"/>
                <w:sz w:val="16"/>
                <w:szCs w:val="16"/>
              </w:rPr>
            </w:pPr>
            <w:r w:rsidRPr="008D777B">
              <w:rPr>
                <w:color w:val="000000"/>
                <w:sz w:val="16"/>
              </w:rPr>
              <w:t>260,5</w:t>
            </w:r>
          </w:p>
        </w:tc>
        <w:tc>
          <w:tcPr>
            <w:tcW w:w="854" w:type="dxa"/>
            <w:tcBorders>
              <w:top w:val="nil"/>
              <w:left w:val="nil"/>
              <w:bottom w:val="single" w:sz="4" w:space="0" w:color="FFFFFF"/>
              <w:right w:val="single" w:sz="4" w:space="0" w:color="FFFFFF"/>
            </w:tcBorders>
            <w:shd w:val="clear" w:color="auto" w:fill="auto"/>
            <w:noWrap/>
            <w:vAlign w:val="bottom"/>
            <w:hideMark/>
          </w:tcPr>
          <w:p w14:paraId="359B72B2" w14:textId="77777777" w:rsidR="004C78C0" w:rsidRPr="008D777B" w:rsidRDefault="004C78C0" w:rsidP="00654255">
            <w:pPr>
              <w:jc w:val="right"/>
              <w:rPr>
                <w:rFonts w:cstheme="minorHAnsi"/>
                <w:color w:val="000000"/>
                <w:sz w:val="16"/>
                <w:szCs w:val="16"/>
              </w:rPr>
            </w:pPr>
            <w:r w:rsidRPr="008D777B">
              <w:rPr>
                <w:color w:val="000000"/>
                <w:sz w:val="16"/>
              </w:rPr>
              <w:t>201,7</w:t>
            </w:r>
          </w:p>
        </w:tc>
        <w:tc>
          <w:tcPr>
            <w:tcW w:w="673" w:type="dxa"/>
            <w:tcBorders>
              <w:top w:val="nil"/>
              <w:left w:val="nil"/>
              <w:bottom w:val="single" w:sz="4" w:space="0" w:color="FFFFFF"/>
              <w:right w:val="nil"/>
            </w:tcBorders>
            <w:shd w:val="clear" w:color="auto" w:fill="auto"/>
            <w:noWrap/>
            <w:vAlign w:val="bottom"/>
            <w:hideMark/>
          </w:tcPr>
          <w:p w14:paraId="278BF0BB" w14:textId="77777777" w:rsidR="004C78C0" w:rsidRPr="008D777B" w:rsidRDefault="004C78C0" w:rsidP="00654255">
            <w:pPr>
              <w:jc w:val="right"/>
              <w:rPr>
                <w:rFonts w:cstheme="minorHAnsi"/>
                <w:color w:val="000000"/>
                <w:sz w:val="16"/>
                <w:szCs w:val="16"/>
              </w:rPr>
            </w:pPr>
            <w:r w:rsidRPr="008D777B">
              <w:rPr>
                <w:color w:val="000000"/>
                <w:sz w:val="16"/>
              </w:rPr>
              <w:t>-22,6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E9EF626" w14:textId="77777777" w:rsidR="004C78C0" w:rsidRPr="008D777B" w:rsidRDefault="004C78C0" w:rsidP="00654255">
            <w:pPr>
              <w:jc w:val="right"/>
              <w:rPr>
                <w:rFonts w:cstheme="minorHAnsi"/>
                <w:color w:val="000000"/>
                <w:sz w:val="16"/>
                <w:szCs w:val="16"/>
              </w:rPr>
            </w:pPr>
            <w:r w:rsidRPr="008D777B">
              <w:rPr>
                <w:color w:val="000000"/>
                <w:sz w:val="16"/>
              </w:rPr>
              <w:t>188,0</w:t>
            </w:r>
          </w:p>
        </w:tc>
      </w:tr>
      <w:tr w:rsidR="004C78C0" w:rsidRPr="008D777B" w14:paraId="01D0E2D5" w14:textId="77777777" w:rsidTr="00654255">
        <w:tc>
          <w:tcPr>
            <w:tcW w:w="1304" w:type="dxa"/>
            <w:tcBorders>
              <w:top w:val="single" w:sz="4" w:space="0" w:color="auto"/>
              <w:left w:val="single" w:sz="4" w:space="0" w:color="auto"/>
              <w:bottom w:val="single" w:sz="4" w:space="0" w:color="auto"/>
              <w:right w:val="nil"/>
            </w:tcBorders>
            <w:shd w:val="clear" w:color="auto" w:fill="auto"/>
            <w:vAlign w:val="bottom"/>
            <w:hideMark/>
          </w:tcPr>
          <w:p w14:paraId="4005A6BA" w14:textId="77777777" w:rsidR="004C78C0" w:rsidRPr="008D777B" w:rsidRDefault="004C78C0" w:rsidP="00654255">
            <w:pPr>
              <w:rPr>
                <w:rFonts w:cstheme="minorHAnsi"/>
                <w:b/>
                <w:bCs/>
                <w:color w:val="000000"/>
                <w:sz w:val="16"/>
                <w:szCs w:val="16"/>
              </w:rPr>
            </w:pPr>
            <w:r w:rsidRPr="008D777B">
              <w:rPr>
                <w:b/>
                <w:color w:val="000000"/>
                <w:sz w:val="16"/>
              </w:rPr>
              <w:t>Union européenne</w:t>
            </w:r>
          </w:p>
        </w:tc>
        <w:tc>
          <w:tcPr>
            <w:tcW w:w="905" w:type="dxa"/>
            <w:tcBorders>
              <w:top w:val="single" w:sz="4" w:space="0" w:color="auto"/>
              <w:left w:val="single" w:sz="4" w:space="0" w:color="auto"/>
              <w:bottom w:val="single" w:sz="4" w:space="0" w:color="auto"/>
              <w:right w:val="single" w:sz="4" w:space="0" w:color="FFFFFF"/>
            </w:tcBorders>
            <w:shd w:val="clear" w:color="auto" w:fill="auto"/>
            <w:vAlign w:val="bottom"/>
            <w:hideMark/>
          </w:tcPr>
          <w:p w14:paraId="33DA1532" w14:textId="77777777" w:rsidR="004C78C0" w:rsidRPr="008D777B" w:rsidRDefault="004C78C0" w:rsidP="00654255">
            <w:pPr>
              <w:jc w:val="right"/>
              <w:rPr>
                <w:rFonts w:cstheme="minorHAnsi"/>
                <w:b/>
                <w:bCs/>
                <w:color w:val="000000"/>
                <w:sz w:val="16"/>
                <w:szCs w:val="16"/>
              </w:rPr>
            </w:pPr>
            <w:r w:rsidRPr="008D777B">
              <w:rPr>
                <w:b/>
                <w:color w:val="000000"/>
                <w:sz w:val="16"/>
              </w:rPr>
              <w:t>53,1</w:t>
            </w:r>
          </w:p>
        </w:tc>
        <w:tc>
          <w:tcPr>
            <w:tcW w:w="990" w:type="dxa"/>
            <w:tcBorders>
              <w:top w:val="single" w:sz="4" w:space="0" w:color="auto"/>
              <w:left w:val="nil"/>
              <w:bottom w:val="single" w:sz="4" w:space="0" w:color="auto"/>
              <w:right w:val="single" w:sz="4" w:space="0" w:color="FFFFFF"/>
            </w:tcBorders>
            <w:shd w:val="clear" w:color="auto" w:fill="auto"/>
            <w:vAlign w:val="bottom"/>
            <w:hideMark/>
          </w:tcPr>
          <w:p w14:paraId="506C0105" w14:textId="77777777" w:rsidR="004C78C0" w:rsidRPr="008D777B" w:rsidRDefault="004C78C0" w:rsidP="00654255">
            <w:pPr>
              <w:jc w:val="right"/>
              <w:rPr>
                <w:rFonts w:cstheme="minorHAnsi"/>
                <w:b/>
                <w:bCs/>
                <w:color w:val="000000"/>
                <w:sz w:val="16"/>
                <w:szCs w:val="16"/>
              </w:rPr>
            </w:pPr>
            <w:r w:rsidRPr="008D777B">
              <w:rPr>
                <w:b/>
                <w:color w:val="000000"/>
                <w:sz w:val="16"/>
              </w:rPr>
              <w:t>957.657,9</w:t>
            </w:r>
          </w:p>
        </w:tc>
        <w:tc>
          <w:tcPr>
            <w:tcW w:w="990" w:type="dxa"/>
            <w:tcBorders>
              <w:top w:val="single" w:sz="4" w:space="0" w:color="auto"/>
              <w:left w:val="nil"/>
              <w:bottom w:val="single" w:sz="4" w:space="0" w:color="auto"/>
              <w:right w:val="single" w:sz="4" w:space="0" w:color="FFFFFF"/>
            </w:tcBorders>
            <w:shd w:val="clear" w:color="auto" w:fill="auto"/>
            <w:vAlign w:val="bottom"/>
            <w:hideMark/>
          </w:tcPr>
          <w:p w14:paraId="5A6FFF32" w14:textId="77777777" w:rsidR="004C78C0" w:rsidRPr="008D777B" w:rsidRDefault="004C78C0" w:rsidP="00654255">
            <w:pPr>
              <w:jc w:val="right"/>
              <w:rPr>
                <w:rFonts w:cstheme="minorHAnsi"/>
                <w:b/>
                <w:bCs/>
                <w:color w:val="000000"/>
                <w:sz w:val="16"/>
                <w:szCs w:val="16"/>
              </w:rPr>
            </w:pPr>
            <w:r w:rsidRPr="008D777B">
              <w:rPr>
                <w:b/>
                <w:color w:val="000000"/>
                <w:sz w:val="16"/>
              </w:rPr>
              <w:t>780.129,2</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14:paraId="159E0DF6" w14:textId="77777777" w:rsidR="004C78C0" w:rsidRPr="008D777B" w:rsidRDefault="004C78C0" w:rsidP="00654255">
            <w:pPr>
              <w:jc w:val="right"/>
              <w:rPr>
                <w:rFonts w:cstheme="minorHAnsi"/>
                <w:b/>
                <w:bCs/>
                <w:color w:val="000000"/>
                <w:sz w:val="16"/>
                <w:szCs w:val="16"/>
              </w:rPr>
            </w:pPr>
            <w:r w:rsidRPr="008D777B">
              <w:rPr>
                <w:b/>
                <w:color w:val="000000"/>
                <w:sz w:val="16"/>
              </w:rPr>
              <w:t>-18,5</w:t>
            </w:r>
          </w:p>
        </w:tc>
        <w:tc>
          <w:tcPr>
            <w:tcW w:w="829" w:type="dxa"/>
            <w:tcBorders>
              <w:top w:val="single" w:sz="4" w:space="0" w:color="auto"/>
              <w:left w:val="nil"/>
              <w:bottom w:val="single" w:sz="4" w:space="0" w:color="auto"/>
              <w:right w:val="single" w:sz="4" w:space="0" w:color="FFFFFF"/>
            </w:tcBorders>
            <w:shd w:val="clear" w:color="auto" w:fill="auto"/>
            <w:noWrap/>
            <w:vAlign w:val="bottom"/>
            <w:hideMark/>
          </w:tcPr>
          <w:p w14:paraId="6B8A6650" w14:textId="77777777" w:rsidR="004C78C0" w:rsidRPr="008D777B" w:rsidRDefault="004C78C0" w:rsidP="00654255">
            <w:pPr>
              <w:jc w:val="right"/>
              <w:rPr>
                <w:rFonts w:cstheme="minorHAnsi"/>
                <w:b/>
                <w:bCs/>
                <w:color w:val="000000"/>
                <w:sz w:val="16"/>
                <w:szCs w:val="16"/>
              </w:rPr>
            </w:pPr>
            <w:r w:rsidRPr="008D777B">
              <w:rPr>
                <w:b/>
                <w:color w:val="000000"/>
                <w:sz w:val="16"/>
              </w:rPr>
              <w:t>90,2</w:t>
            </w:r>
          </w:p>
        </w:tc>
        <w:tc>
          <w:tcPr>
            <w:tcW w:w="854" w:type="dxa"/>
            <w:tcBorders>
              <w:top w:val="single" w:sz="4" w:space="0" w:color="auto"/>
              <w:left w:val="nil"/>
              <w:bottom w:val="single" w:sz="4" w:space="0" w:color="auto"/>
              <w:right w:val="single" w:sz="4" w:space="0" w:color="FFFFFF"/>
            </w:tcBorders>
            <w:shd w:val="clear" w:color="auto" w:fill="auto"/>
            <w:noWrap/>
            <w:vAlign w:val="bottom"/>
            <w:hideMark/>
          </w:tcPr>
          <w:p w14:paraId="378403FF" w14:textId="77777777" w:rsidR="004C78C0" w:rsidRPr="008D777B" w:rsidRDefault="004C78C0" w:rsidP="00654255">
            <w:pPr>
              <w:jc w:val="right"/>
              <w:rPr>
                <w:rFonts w:cstheme="minorHAnsi"/>
                <w:b/>
                <w:bCs/>
                <w:color w:val="000000"/>
                <w:sz w:val="16"/>
                <w:szCs w:val="16"/>
              </w:rPr>
            </w:pPr>
            <w:r w:rsidRPr="008D777B">
              <w:rPr>
                <w:b/>
                <w:color w:val="000000"/>
                <w:sz w:val="16"/>
              </w:rPr>
              <w:t>770.387,7</w:t>
            </w:r>
          </w:p>
        </w:tc>
        <w:tc>
          <w:tcPr>
            <w:tcW w:w="854" w:type="dxa"/>
            <w:tcBorders>
              <w:top w:val="single" w:sz="4" w:space="0" w:color="auto"/>
              <w:left w:val="nil"/>
              <w:bottom w:val="single" w:sz="4" w:space="0" w:color="auto"/>
              <w:right w:val="single" w:sz="4" w:space="0" w:color="FFFFFF"/>
            </w:tcBorders>
            <w:shd w:val="clear" w:color="auto" w:fill="auto"/>
            <w:noWrap/>
            <w:vAlign w:val="bottom"/>
            <w:hideMark/>
          </w:tcPr>
          <w:p w14:paraId="5E9A2E11" w14:textId="77777777" w:rsidR="004C78C0" w:rsidRPr="008D777B" w:rsidRDefault="004C78C0" w:rsidP="00654255">
            <w:pPr>
              <w:jc w:val="right"/>
              <w:rPr>
                <w:rFonts w:cstheme="minorHAnsi"/>
                <w:b/>
                <w:bCs/>
                <w:color w:val="000000"/>
                <w:sz w:val="16"/>
                <w:szCs w:val="16"/>
              </w:rPr>
            </w:pPr>
            <w:r w:rsidRPr="008D777B">
              <w:rPr>
                <w:b/>
                <w:color w:val="000000"/>
                <w:sz w:val="16"/>
              </w:rPr>
              <w:t>784.202,6</w:t>
            </w:r>
          </w:p>
        </w:tc>
        <w:tc>
          <w:tcPr>
            <w:tcW w:w="673" w:type="dxa"/>
            <w:tcBorders>
              <w:top w:val="single" w:sz="4" w:space="0" w:color="auto"/>
              <w:left w:val="nil"/>
              <w:bottom w:val="single" w:sz="4" w:space="0" w:color="auto"/>
              <w:right w:val="nil"/>
            </w:tcBorders>
            <w:shd w:val="clear" w:color="auto" w:fill="auto"/>
            <w:noWrap/>
            <w:vAlign w:val="bottom"/>
            <w:hideMark/>
          </w:tcPr>
          <w:p w14:paraId="5BE6399C" w14:textId="77777777" w:rsidR="004C78C0" w:rsidRPr="008D777B" w:rsidRDefault="004C78C0" w:rsidP="00654255">
            <w:pPr>
              <w:jc w:val="right"/>
              <w:rPr>
                <w:rFonts w:cstheme="minorHAnsi"/>
                <w:b/>
                <w:bCs/>
                <w:color w:val="000000"/>
                <w:sz w:val="16"/>
                <w:szCs w:val="16"/>
              </w:rPr>
            </w:pPr>
            <w:r w:rsidRPr="008D777B">
              <w:rPr>
                <w:b/>
                <w:color w:val="000000"/>
                <w:sz w:val="16"/>
              </w:rPr>
              <w:t>1,8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D040B" w14:textId="77777777" w:rsidR="004C78C0" w:rsidRPr="008D777B" w:rsidRDefault="004C78C0" w:rsidP="00654255">
            <w:pPr>
              <w:jc w:val="right"/>
              <w:rPr>
                <w:rFonts w:cstheme="minorHAnsi"/>
                <w:b/>
                <w:bCs/>
                <w:color w:val="000000"/>
                <w:sz w:val="16"/>
                <w:szCs w:val="16"/>
              </w:rPr>
            </w:pPr>
            <w:r w:rsidRPr="008D777B">
              <w:rPr>
                <w:b/>
                <w:color w:val="000000"/>
                <w:sz w:val="16"/>
              </w:rPr>
              <w:t>100,5</w:t>
            </w:r>
          </w:p>
        </w:tc>
      </w:tr>
      <w:tr w:rsidR="004C78C0" w:rsidRPr="008D777B" w14:paraId="63454C44" w14:textId="77777777" w:rsidTr="00654255">
        <w:tc>
          <w:tcPr>
            <w:tcW w:w="1304" w:type="dxa"/>
            <w:tcBorders>
              <w:top w:val="single" w:sz="4" w:space="0" w:color="FFFFFF"/>
              <w:left w:val="single" w:sz="4" w:space="0" w:color="auto"/>
              <w:bottom w:val="single" w:sz="4" w:space="0" w:color="FFFFFF"/>
              <w:right w:val="nil"/>
            </w:tcBorders>
            <w:shd w:val="clear" w:color="auto" w:fill="auto"/>
            <w:vAlign w:val="bottom"/>
            <w:hideMark/>
          </w:tcPr>
          <w:p w14:paraId="459AA7C5" w14:textId="77777777" w:rsidR="004C78C0" w:rsidRPr="008D777B" w:rsidRDefault="004C78C0" w:rsidP="00654255">
            <w:pPr>
              <w:rPr>
                <w:rFonts w:cstheme="minorHAnsi"/>
                <w:color w:val="000000"/>
                <w:sz w:val="16"/>
                <w:szCs w:val="16"/>
              </w:rPr>
            </w:pPr>
            <w:r w:rsidRPr="008D777B">
              <w:rPr>
                <w:color w:val="000000"/>
                <w:sz w:val="16"/>
              </w:rPr>
              <w:t>Royaume-Uni</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92318B8" w14:textId="77777777" w:rsidR="004C78C0" w:rsidRPr="008D777B" w:rsidRDefault="004C78C0" w:rsidP="00654255">
            <w:pPr>
              <w:jc w:val="right"/>
              <w:rPr>
                <w:rFonts w:cstheme="minorHAnsi"/>
                <w:color w:val="000000"/>
                <w:sz w:val="16"/>
                <w:szCs w:val="16"/>
              </w:rPr>
            </w:pPr>
            <w:r w:rsidRPr="008D777B">
              <w:rPr>
                <w:color w:val="000000"/>
                <w:sz w:val="16"/>
              </w:rPr>
              <w:t>0,7</w:t>
            </w:r>
          </w:p>
        </w:tc>
        <w:tc>
          <w:tcPr>
            <w:tcW w:w="990" w:type="dxa"/>
            <w:tcBorders>
              <w:top w:val="single" w:sz="4" w:space="0" w:color="FFFFFF"/>
              <w:left w:val="nil"/>
              <w:bottom w:val="single" w:sz="4" w:space="0" w:color="FFFFFF"/>
              <w:right w:val="single" w:sz="4" w:space="0" w:color="FFFFFF"/>
            </w:tcBorders>
            <w:shd w:val="clear" w:color="auto" w:fill="auto"/>
            <w:vAlign w:val="bottom"/>
            <w:hideMark/>
          </w:tcPr>
          <w:p w14:paraId="327827C2" w14:textId="77777777" w:rsidR="004C78C0" w:rsidRPr="008D777B" w:rsidRDefault="004C78C0" w:rsidP="00654255">
            <w:pPr>
              <w:jc w:val="right"/>
              <w:rPr>
                <w:rFonts w:cstheme="minorHAnsi"/>
                <w:color w:val="000000"/>
                <w:sz w:val="16"/>
                <w:szCs w:val="16"/>
              </w:rPr>
            </w:pPr>
            <w:r w:rsidRPr="008D777B">
              <w:rPr>
                <w:color w:val="000000"/>
                <w:sz w:val="16"/>
              </w:rPr>
              <w:t>14.760,1</w:t>
            </w:r>
          </w:p>
        </w:tc>
        <w:tc>
          <w:tcPr>
            <w:tcW w:w="990" w:type="dxa"/>
            <w:tcBorders>
              <w:top w:val="single" w:sz="4" w:space="0" w:color="FFFFFF"/>
              <w:left w:val="nil"/>
              <w:bottom w:val="single" w:sz="4" w:space="0" w:color="FFFFFF"/>
              <w:right w:val="single" w:sz="4" w:space="0" w:color="FFFFFF"/>
            </w:tcBorders>
            <w:shd w:val="clear" w:color="auto" w:fill="auto"/>
            <w:vAlign w:val="bottom"/>
            <w:hideMark/>
          </w:tcPr>
          <w:p w14:paraId="4699F9F2" w14:textId="77777777" w:rsidR="004C78C0" w:rsidRPr="008D777B" w:rsidRDefault="004C78C0" w:rsidP="00654255">
            <w:pPr>
              <w:jc w:val="right"/>
              <w:rPr>
                <w:rFonts w:cstheme="minorHAnsi"/>
                <w:color w:val="000000"/>
                <w:sz w:val="16"/>
                <w:szCs w:val="16"/>
              </w:rPr>
            </w:pPr>
            <w:r w:rsidRPr="008D777B">
              <w:rPr>
                <w:color w:val="000000"/>
                <w:sz w:val="16"/>
              </w:rPr>
              <w:t>10.607,2</w:t>
            </w:r>
          </w:p>
        </w:tc>
        <w:tc>
          <w:tcPr>
            <w:tcW w:w="673" w:type="dxa"/>
            <w:tcBorders>
              <w:top w:val="nil"/>
              <w:left w:val="nil"/>
              <w:bottom w:val="single" w:sz="4" w:space="0" w:color="FFFFFF"/>
              <w:right w:val="single" w:sz="4" w:space="0" w:color="auto"/>
            </w:tcBorders>
            <w:shd w:val="clear" w:color="auto" w:fill="auto"/>
            <w:noWrap/>
            <w:vAlign w:val="bottom"/>
            <w:hideMark/>
          </w:tcPr>
          <w:p w14:paraId="1C1682CC" w14:textId="77777777" w:rsidR="004C78C0" w:rsidRPr="008D777B" w:rsidRDefault="004C78C0" w:rsidP="00654255">
            <w:pPr>
              <w:jc w:val="right"/>
              <w:rPr>
                <w:rFonts w:cstheme="minorHAnsi"/>
                <w:color w:val="000000"/>
                <w:sz w:val="16"/>
                <w:szCs w:val="16"/>
              </w:rPr>
            </w:pPr>
            <w:r w:rsidRPr="008D777B">
              <w:rPr>
                <w:color w:val="000000"/>
                <w:sz w:val="16"/>
              </w:rPr>
              <w:t>-28,1</w:t>
            </w:r>
          </w:p>
        </w:tc>
        <w:tc>
          <w:tcPr>
            <w:tcW w:w="829" w:type="dxa"/>
            <w:tcBorders>
              <w:top w:val="nil"/>
              <w:left w:val="nil"/>
              <w:bottom w:val="single" w:sz="4" w:space="0" w:color="FFFFFF"/>
              <w:right w:val="single" w:sz="4" w:space="0" w:color="FFFFFF"/>
            </w:tcBorders>
            <w:shd w:val="clear" w:color="auto" w:fill="auto"/>
            <w:noWrap/>
            <w:vAlign w:val="bottom"/>
            <w:hideMark/>
          </w:tcPr>
          <w:p w14:paraId="26A48355" w14:textId="77777777" w:rsidR="004C78C0" w:rsidRPr="008D777B" w:rsidRDefault="004C78C0" w:rsidP="00654255">
            <w:pPr>
              <w:jc w:val="right"/>
              <w:rPr>
                <w:rFonts w:cstheme="minorHAnsi"/>
                <w:color w:val="000000"/>
                <w:sz w:val="16"/>
                <w:szCs w:val="16"/>
              </w:rPr>
            </w:pPr>
            <w:r w:rsidRPr="008D777B">
              <w:rPr>
                <w:color w:val="000000"/>
                <w:sz w:val="16"/>
              </w:rPr>
              <w:t>2,7</w:t>
            </w:r>
          </w:p>
        </w:tc>
        <w:tc>
          <w:tcPr>
            <w:tcW w:w="854" w:type="dxa"/>
            <w:tcBorders>
              <w:top w:val="single" w:sz="4" w:space="0" w:color="FFFFFF"/>
              <w:left w:val="nil"/>
              <w:bottom w:val="single" w:sz="4" w:space="0" w:color="FFFFFF"/>
              <w:right w:val="single" w:sz="4" w:space="0" w:color="FFFFFF"/>
            </w:tcBorders>
            <w:shd w:val="clear" w:color="auto" w:fill="auto"/>
            <w:noWrap/>
            <w:vAlign w:val="bottom"/>
            <w:hideMark/>
          </w:tcPr>
          <w:p w14:paraId="104F28B3" w14:textId="77777777" w:rsidR="004C78C0" w:rsidRPr="008D777B" w:rsidRDefault="004C78C0" w:rsidP="00654255">
            <w:pPr>
              <w:jc w:val="right"/>
              <w:rPr>
                <w:rFonts w:cstheme="minorHAnsi"/>
                <w:color w:val="000000"/>
                <w:sz w:val="16"/>
                <w:szCs w:val="16"/>
              </w:rPr>
            </w:pPr>
            <w:r w:rsidRPr="008D777B">
              <w:rPr>
                <w:color w:val="000000"/>
                <w:sz w:val="16"/>
              </w:rPr>
              <w:t>25.730,1</w:t>
            </w:r>
          </w:p>
        </w:tc>
        <w:tc>
          <w:tcPr>
            <w:tcW w:w="854" w:type="dxa"/>
            <w:tcBorders>
              <w:top w:val="single" w:sz="4" w:space="0" w:color="FFFFFF"/>
              <w:left w:val="nil"/>
              <w:bottom w:val="single" w:sz="4" w:space="0" w:color="FFFFFF"/>
              <w:right w:val="single" w:sz="4" w:space="0" w:color="FFFFFF"/>
            </w:tcBorders>
            <w:shd w:val="clear" w:color="auto" w:fill="auto"/>
            <w:noWrap/>
            <w:vAlign w:val="bottom"/>
            <w:hideMark/>
          </w:tcPr>
          <w:p w14:paraId="47D9262E" w14:textId="77777777" w:rsidR="004C78C0" w:rsidRPr="008D777B" w:rsidRDefault="004C78C0" w:rsidP="00654255">
            <w:pPr>
              <w:jc w:val="right"/>
              <w:rPr>
                <w:rFonts w:cstheme="minorHAnsi"/>
                <w:color w:val="000000"/>
                <w:sz w:val="16"/>
                <w:szCs w:val="16"/>
              </w:rPr>
            </w:pPr>
            <w:r w:rsidRPr="008D777B">
              <w:rPr>
                <w:color w:val="000000"/>
                <w:sz w:val="16"/>
              </w:rPr>
              <w:t>23.214,0</w:t>
            </w:r>
          </w:p>
        </w:tc>
        <w:tc>
          <w:tcPr>
            <w:tcW w:w="673" w:type="dxa"/>
            <w:tcBorders>
              <w:top w:val="nil"/>
              <w:left w:val="nil"/>
              <w:bottom w:val="single" w:sz="4" w:space="0" w:color="FFFFFF"/>
              <w:right w:val="nil"/>
            </w:tcBorders>
            <w:shd w:val="clear" w:color="auto" w:fill="auto"/>
            <w:noWrap/>
            <w:vAlign w:val="bottom"/>
            <w:hideMark/>
          </w:tcPr>
          <w:p w14:paraId="709A93AA" w14:textId="77777777" w:rsidR="004C78C0" w:rsidRPr="008D777B" w:rsidRDefault="004C78C0" w:rsidP="00654255">
            <w:pPr>
              <w:jc w:val="right"/>
              <w:rPr>
                <w:rFonts w:cstheme="minorHAnsi"/>
                <w:color w:val="000000"/>
                <w:sz w:val="16"/>
                <w:szCs w:val="16"/>
              </w:rPr>
            </w:pPr>
            <w:r w:rsidRPr="008D777B">
              <w:rPr>
                <w:color w:val="000000"/>
                <w:sz w:val="16"/>
              </w:rPr>
              <w:t>-9,8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751FE29B" w14:textId="77777777" w:rsidR="004C78C0" w:rsidRPr="008D777B" w:rsidRDefault="004C78C0" w:rsidP="00654255">
            <w:pPr>
              <w:jc w:val="right"/>
              <w:rPr>
                <w:rFonts w:cstheme="minorHAnsi"/>
                <w:color w:val="000000"/>
                <w:sz w:val="16"/>
                <w:szCs w:val="16"/>
              </w:rPr>
            </w:pPr>
            <w:r w:rsidRPr="008D777B">
              <w:rPr>
                <w:color w:val="000000"/>
                <w:sz w:val="16"/>
              </w:rPr>
              <w:t>218,9</w:t>
            </w:r>
          </w:p>
        </w:tc>
      </w:tr>
      <w:tr w:rsidR="004C78C0" w:rsidRPr="008D777B" w14:paraId="5D955B43"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48BC58F" w14:textId="77777777" w:rsidR="004C78C0" w:rsidRPr="008D777B" w:rsidRDefault="004C78C0" w:rsidP="00654255">
            <w:pPr>
              <w:rPr>
                <w:rFonts w:cstheme="minorHAnsi"/>
                <w:color w:val="000000"/>
                <w:sz w:val="16"/>
                <w:szCs w:val="16"/>
              </w:rPr>
            </w:pPr>
            <w:r w:rsidRPr="008D777B">
              <w:rPr>
                <w:color w:val="000000"/>
                <w:sz w:val="16"/>
              </w:rPr>
              <w:t>USA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126FEA1"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990" w:type="dxa"/>
            <w:tcBorders>
              <w:top w:val="nil"/>
              <w:left w:val="nil"/>
              <w:bottom w:val="single" w:sz="4" w:space="0" w:color="FFFFFF"/>
              <w:right w:val="single" w:sz="4" w:space="0" w:color="FFFFFF"/>
            </w:tcBorders>
            <w:shd w:val="clear" w:color="auto" w:fill="auto"/>
            <w:vAlign w:val="bottom"/>
            <w:hideMark/>
          </w:tcPr>
          <w:p w14:paraId="40032DBF" w14:textId="77777777" w:rsidR="004C78C0" w:rsidRPr="008D777B" w:rsidRDefault="004C78C0" w:rsidP="00654255">
            <w:pPr>
              <w:jc w:val="right"/>
              <w:rPr>
                <w:rFonts w:cstheme="minorHAnsi"/>
                <w:color w:val="000000"/>
                <w:sz w:val="16"/>
                <w:szCs w:val="16"/>
              </w:rPr>
            </w:pPr>
            <w:r w:rsidRPr="008D777B">
              <w:rPr>
                <w:color w:val="000000"/>
                <w:sz w:val="16"/>
              </w:rPr>
              <w:t>3.442,6</w:t>
            </w:r>
          </w:p>
        </w:tc>
        <w:tc>
          <w:tcPr>
            <w:tcW w:w="990" w:type="dxa"/>
            <w:tcBorders>
              <w:top w:val="nil"/>
              <w:left w:val="nil"/>
              <w:bottom w:val="single" w:sz="4" w:space="0" w:color="FFFFFF"/>
              <w:right w:val="single" w:sz="4" w:space="0" w:color="FFFFFF"/>
            </w:tcBorders>
            <w:shd w:val="clear" w:color="auto" w:fill="auto"/>
            <w:vAlign w:val="bottom"/>
            <w:hideMark/>
          </w:tcPr>
          <w:p w14:paraId="54FEC842" w14:textId="77777777" w:rsidR="004C78C0" w:rsidRPr="008D777B" w:rsidRDefault="004C78C0" w:rsidP="00654255">
            <w:pPr>
              <w:jc w:val="right"/>
              <w:rPr>
                <w:rFonts w:cstheme="minorHAnsi"/>
                <w:color w:val="000000"/>
                <w:sz w:val="16"/>
                <w:szCs w:val="16"/>
              </w:rPr>
            </w:pPr>
            <w:r w:rsidRPr="008D777B">
              <w:rPr>
                <w:color w:val="000000"/>
                <w:sz w:val="16"/>
              </w:rPr>
              <w:t>2.987,6</w:t>
            </w:r>
          </w:p>
        </w:tc>
        <w:tc>
          <w:tcPr>
            <w:tcW w:w="673" w:type="dxa"/>
            <w:tcBorders>
              <w:top w:val="nil"/>
              <w:left w:val="nil"/>
              <w:bottom w:val="single" w:sz="4" w:space="0" w:color="FFFFFF"/>
              <w:right w:val="single" w:sz="4" w:space="0" w:color="auto"/>
            </w:tcBorders>
            <w:shd w:val="clear" w:color="auto" w:fill="auto"/>
            <w:noWrap/>
            <w:vAlign w:val="bottom"/>
            <w:hideMark/>
          </w:tcPr>
          <w:p w14:paraId="4D557DF1" w14:textId="77777777" w:rsidR="004C78C0" w:rsidRPr="008D777B" w:rsidRDefault="004C78C0" w:rsidP="00654255">
            <w:pPr>
              <w:jc w:val="right"/>
              <w:rPr>
                <w:rFonts w:cstheme="minorHAnsi"/>
                <w:color w:val="000000"/>
                <w:sz w:val="16"/>
                <w:szCs w:val="16"/>
              </w:rPr>
            </w:pPr>
            <w:r w:rsidRPr="008D777B">
              <w:rPr>
                <w:color w:val="000000"/>
                <w:sz w:val="16"/>
              </w:rPr>
              <w:t>-13,2</w:t>
            </w:r>
          </w:p>
        </w:tc>
        <w:tc>
          <w:tcPr>
            <w:tcW w:w="829" w:type="dxa"/>
            <w:tcBorders>
              <w:top w:val="nil"/>
              <w:left w:val="nil"/>
              <w:bottom w:val="single" w:sz="4" w:space="0" w:color="FFFFFF"/>
              <w:right w:val="single" w:sz="4" w:space="0" w:color="FFFFFF"/>
            </w:tcBorders>
            <w:shd w:val="clear" w:color="auto" w:fill="auto"/>
            <w:noWrap/>
            <w:vAlign w:val="bottom"/>
            <w:hideMark/>
          </w:tcPr>
          <w:p w14:paraId="63CD6AF4" w14:textId="77777777" w:rsidR="004C78C0" w:rsidRPr="008D777B" w:rsidRDefault="004C78C0" w:rsidP="00654255">
            <w:pPr>
              <w:jc w:val="right"/>
              <w:rPr>
                <w:rFonts w:cstheme="minorHAnsi"/>
                <w:color w:val="000000"/>
                <w:sz w:val="16"/>
                <w:szCs w:val="16"/>
              </w:rPr>
            </w:pPr>
            <w:r w:rsidRPr="008D777B">
              <w:rPr>
                <w:color w:val="000000"/>
                <w:sz w:val="16"/>
              </w:rPr>
              <w:t>2,0</w:t>
            </w:r>
          </w:p>
        </w:tc>
        <w:tc>
          <w:tcPr>
            <w:tcW w:w="854" w:type="dxa"/>
            <w:tcBorders>
              <w:top w:val="nil"/>
              <w:left w:val="nil"/>
              <w:bottom w:val="single" w:sz="4" w:space="0" w:color="FFFFFF"/>
              <w:right w:val="single" w:sz="4" w:space="0" w:color="FFFFFF"/>
            </w:tcBorders>
            <w:shd w:val="clear" w:color="auto" w:fill="auto"/>
            <w:noWrap/>
            <w:vAlign w:val="bottom"/>
            <w:hideMark/>
          </w:tcPr>
          <w:p w14:paraId="5A8CFBC4" w14:textId="77777777" w:rsidR="004C78C0" w:rsidRPr="008D777B" w:rsidRDefault="004C78C0" w:rsidP="00654255">
            <w:pPr>
              <w:jc w:val="right"/>
              <w:rPr>
                <w:rFonts w:cstheme="minorHAnsi"/>
                <w:color w:val="000000"/>
                <w:sz w:val="16"/>
                <w:szCs w:val="16"/>
              </w:rPr>
            </w:pPr>
            <w:r w:rsidRPr="008D777B">
              <w:rPr>
                <w:color w:val="000000"/>
                <w:sz w:val="16"/>
              </w:rPr>
              <w:t>15.892,7</w:t>
            </w:r>
          </w:p>
        </w:tc>
        <w:tc>
          <w:tcPr>
            <w:tcW w:w="854" w:type="dxa"/>
            <w:tcBorders>
              <w:top w:val="nil"/>
              <w:left w:val="nil"/>
              <w:bottom w:val="single" w:sz="4" w:space="0" w:color="FFFFFF"/>
              <w:right w:val="single" w:sz="4" w:space="0" w:color="FFFFFF"/>
            </w:tcBorders>
            <w:shd w:val="clear" w:color="auto" w:fill="auto"/>
            <w:noWrap/>
            <w:vAlign w:val="bottom"/>
            <w:hideMark/>
          </w:tcPr>
          <w:p w14:paraId="6DA361F8" w14:textId="77777777" w:rsidR="004C78C0" w:rsidRPr="008D777B" w:rsidRDefault="004C78C0" w:rsidP="00654255">
            <w:pPr>
              <w:jc w:val="right"/>
              <w:rPr>
                <w:rFonts w:cstheme="minorHAnsi"/>
                <w:color w:val="000000"/>
                <w:sz w:val="16"/>
                <w:szCs w:val="16"/>
              </w:rPr>
            </w:pPr>
            <w:r w:rsidRPr="008D777B">
              <w:rPr>
                <w:color w:val="000000"/>
                <w:sz w:val="16"/>
              </w:rPr>
              <w:t>17.660,9</w:t>
            </w:r>
          </w:p>
        </w:tc>
        <w:tc>
          <w:tcPr>
            <w:tcW w:w="673" w:type="dxa"/>
            <w:tcBorders>
              <w:top w:val="nil"/>
              <w:left w:val="nil"/>
              <w:bottom w:val="single" w:sz="4" w:space="0" w:color="FFFFFF"/>
              <w:right w:val="nil"/>
            </w:tcBorders>
            <w:shd w:val="clear" w:color="auto" w:fill="auto"/>
            <w:noWrap/>
            <w:vAlign w:val="bottom"/>
            <w:hideMark/>
          </w:tcPr>
          <w:p w14:paraId="2FF26A25" w14:textId="77777777" w:rsidR="004C78C0" w:rsidRPr="008D777B" w:rsidRDefault="004C78C0" w:rsidP="00654255">
            <w:pPr>
              <w:jc w:val="right"/>
              <w:rPr>
                <w:rFonts w:cstheme="minorHAnsi"/>
                <w:color w:val="000000"/>
                <w:sz w:val="16"/>
                <w:szCs w:val="16"/>
              </w:rPr>
            </w:pPr>
            <w:r w:rsidRPr="008D777B">
              <w:rPr>
                <w:color w:val="000000"/>
                <w:sz w:val="16"/>
              </w:rPr>
              <w:t>11,1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1DEDB72" w14:textId="77777777" w:rsidR="004C78C0" w:rsidRPr="008D777B" w:rsidRDefault="004C78C0" w:rsidP="00654255">
            <w:pPr>
              <w:jc w:val="right"/>
              <w:rPr>
                <w:rFonts w:cstheme="minorHAnsi"/>
                <w:color w:val="000000"/>
                <w:sz w:val="16"/>
                <w:szCs w:val="16"/>
              </w:rPr>
            </w:pPr>
            <w:r w:rsidRPr="008D777B">
              <w:rPr>
                <w:color w:val="000000"/>
                <w:sz w:val="16"/>
              </w:rPr>
              <w:t>591,1</w:t>
            </w:r>
          </w:p>
        </w:tc>
      </w:tr>
      <w:tr w:rsidR="004C78C0" w:rsidRPr="008D777B" w14:paraId="14C9CBE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5DAF1AF" w14:textId="77777777" w:rsidR="004C78C0" w:rsidRPr="008D777B" w:rsidRDefault="004C78C0" w:rsidP="00654255">
            <w:pPr>
              <w:rPr>
                <w:rFonts w:cstheme="minorHAnsi"/>
                <w:color w:val="000000"/>
                <w:sz w:val="16"/>
                <w:szCs w:val="16"/>
              </w:rPr>
            </w:pPr>
            <w:r w:rsidRPr="008D777B">
              <w:rPr>
                <w:color w:val="000000"/>
                <w:sz w:val="16"/>
              </w:rPr>
              <w:t>Suisse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B7696F8"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0F8AA47A" w14:textId="77777777" w:rsidR="004C78C0" w:rsidRPr="008D777B" w:rsidRDefault="004C78C0" w:rsidP="00654255">
            <w:pPr>
              <w:jc w:val="right"/>
              <w:rPr>
                <w:rFonts w:cstheme="minorHAnsi"/>
                <w:color w:val="000000"/>
                <w:sz w:val="16"/>
                <w:szCs w:val="16"/>
              </w:rPr>
            </w:pPr>
            <w:r w:rsidRPr="008D777B">
              <w:rPr>
                <w:color w:val="000000"/>
                <w:sz w:val="16"/>
              </w:rPr>
              <w:t>1.525,3</w:t>
            </w:r>
          </w:p>
        </w:tc>
        <w:tc>
          <w:tcPr>
            <w:tcW w:w="990" w:type="dxa"/>
            <w:tcBorders>
              <w:top w:val="nil"/>
              <w:left w:val="nil"/>
              <w:bottom w:val="single" w:sz="4" w:space="0" w:color="FFFFFF"/>
              <w:right w:val="single" w:sz="4" w:space="0" w:color="FFFFFF"/>
            </w:tcBorders>
            <w:shd w:val="clear" w:color="auto" w:fill="auto"/>
            <w:vAlign w:val="bottom"/>
            <w:hideMark/>
          </w:tcPr>
          <w:p w14:paraId="54D4A3E0" w14:textId="77777777" w:rsidR="004C78C0" w:rsidRPr="008D777B" w:rsidRDefault="004C78C0" w:rsidP="00654255">
            <w:pPr>
              <w:jc w:val="right"/>
              <w:rPr>
                <w:rFonts w:cstheme="minorHAnsi"/>
                <w:color w:val="000000"/>
                <w:sz w:val="16"/>
                <w:szCs w:val="16"/>
              </w:rPr>
            </w:pPr>
            <w:r w:rsidRPr="008D777B">
              <w:rPr>
                <w:color w:val="000000"/>
                <w:sz w:val="16"/>
              </w:rPr>
              <w:t>1.299,5</w:t>
            </w:r>
          </w:p>
        </w:tc>
        <w:tc>
          <w:tcPr>
            <w:tcW w:w="673" w:type="dxa"/>
            <w:tcBorders>
              <w:top w:val="nil"/>
              <w:left w:val="nil"/>
              <w:bottom w:val="single" w:sz="4" w:space="0" w:color="FFFFFF"/>
              <w:right w:val="single" w:sz="4" w:space="0" w:color="auto"/>
            </w:tcBorders>
            <w:shd w:val="clear" w:color="auto" w:fill="auto"/>
            <w:noWrap/>
            <w:vAlign w:val="bottom"/>
            <w:hideMark/>
          </w:tcPr>
          <w:p w14:paraId="7C9FB41E" w14:textId="77777777" w:rsidR="004C78C0" w:rsidRPr="008D777B" w:rsidRDefault="004C78C0" w:rsidP="00654255">
            <w:pPr>
              <w:jc w:val="right"/>
              <w:rPr>
                <w:rFonts w:cstheme="minorHAnsi"/>
                <w:color w:val="000000"/>
                <w:sz w:val="16"/>
                <w:szCs w:val="16"/>
              </w:rPr>
            </w:pPr>
            <w:r w:rsidRPr="008D777B">
              <w:rPr>
                <w:color w:val="000000"/>
                <w:sz w:val="16"/>
              </w:rPr>
              <w:t>-14,8</w:t>
            </w:r>
          </w:p>
        </w:tc>
        <w:tc>
          <w:tcPr>
            <w:tcW w:w="829" w:type="dxa"/>
            <w:tcBorders>
              <w:top w:val="nil"/>
              <w:left w:val="nil"/>
              <w:bottom w:val="single" w:sz="4" w:space="0" w:color="FFFFFF"/>
              <w:right w:val="single" w:sz="4" w:space="0" w:color="FFFFFF"/>
            </w:tcBorders>
            <w:shd w:val="clear" w:color="auto" w:fill="auto"/>
            <w:noWrap/>
            <w:vAlign w:val="bottom"/>
            <w:hideMark/>
          </w:tcPr>
          <w:p w14:paraId="15CDEABF" w14:textId="77777777" w:rsidR="004C78C0" w:rsidRPr="008D777B" w:rsidRDefault="004C78C0" w:rsidP="00654255">
            <w:pPr>
              <w:jc w:val="right"/>
              <w:rPr>
                <w:rFonts w:cstheme="minorHAnsi"/>
                <w:color w:val="000000"/>
                <w:sz w:val="16"/>
                <w:szCs w:val="16"/>
              </w:rPr>
            </w:pPr>
            <w:r w:rsidRPr="008D777B">
              <w:rPr>
                <w:color w:val="000000"/>
                <w:sz w:val="16"/>
              </w:rPr>
              <w:t>1,2</w:t>
            </w:r>
          </w:p>
        </w:tc>
        <w:tc>
          <w:tcPr>
            <w:tcW w:w="854" w:type="dxa"/>
            <w:tcBorders>
              <w:top w:val="nil"/>
              <w:left w:val="nil"/>
              <w:bottom w:val="single" w:sz="4" w:space="0" w:color="FFFFFF"/>
              <w:right w:val="single" w:sz="4" w:space="0" w:color="FFFFFF"/>
            </w:tcBorders>
            <w:shd w:val="clear" w:color="auto" w:fill="auto"/>
            <w:noWrap/>
            <w:vAlign w:val="bottom"/>
            <w:hideMark/>
          </w:tcPr>
          <w:p w14:paraId="17B36101" w14:textId="77777777" w:rsidR="004C78C0" w:rsidRPr="008D777B" w:rsidRDefault="004C78C0" w:rsidP="00654255">
            <w:pPr>
              <w:jc w:val="right"/>
              <w:rPr>
                <w:rFonts w:cstheme="minorHAnsi"/>
                <w:color w:val="000000"/>
                <w:sz w:val="16"/>
                <w:szCs w:val="16"/>
              </w:rPr>
            </w:pPr>
            <w:r w:rsidRPr="008D777B">
              <w:rPr>
                <w:color w:val="000000"/>
                <w:sz w:val="16"/>
              </w:rPr>
              <w:t>12.390,3</w:t>
            </w:r>
          </w:p>
        </w:tc>
        <w:tc>
          <w:tcPr>
            <w:tcW w:w="854" w:type="dxa"/>
            <w:tcBorders>
              <w:top w:val="nil"/>
              <w:left w:val="nil"/>
              <w:bottom w:val="single" w:sz="4" w:space="0" w:color="FFFFFF"/>
              <w:right w:val="single" w:sz="4" w:space="0" w:color="FFFFFF"/>
            </w:tcBorders>
            <w:shd w:val="clear" w:color="auto" w:fill="auto"/>
            <w:noWrap/>
            <w:vAlign w:val="bottom"/>
            <w:hideMark/>
          </w:tcPr>
          <w:p w14:paraId="579D1F01" w14:textId="77777777" w:rsidR="004C78C0" w:rsidRPr="008D777B" w:rsidRDefault="004C78C0" w:rsidP="00654255">
            <w:pPr>
              <w:jc w:val="right"/>
              <w:rPr>
                <w:rFonts w:cstheme="minorHAnsi"/>
                <w:color w:val="000000"/>
                <w:sz w:val="16"/>
                <w:szCs w:val="16"/>
              </w:rPr>
            </w:pPr>
            <w:r w:rsidRPr="008D777B">
              <w:rPr>
                <w:color w:val="000000"/>
                <w:sz w:val="16"/>
              </w:rPr>
              <w:t>10.525,9</w:t>
            </w:r>
          </w:p>
        </w:tc>
        <w:tc>
          <w:tcPr>
            <w:tcW w:w="673" w:type="dxa"/>
            <w:tcBorders>
              <w:top w:val="nil"/>
              <w:left w:val="nil"/>
              <w:bottom w:val="single" w:sz="4" w:space="0" w:color="FFFFFF"/>
              <w:right w:val="nil"/>
            </w:tcBorders>
            <w:shd w:val="clear" w:color="auto" w:fill="auto"/>
            <w:noWrap/>
            <w:vAlign w:val="bottom"/>
            <w:hideMark/>
          </w:tcPr>
          <w:p w14:paraId="41BB59AE" w14:textId="77777777" w:rsidR="004C78C0" w:rsidRPr="008D777B" w:rsidRDefault="004C78C0" w:rsidP="00654255">
            <w:pPr>
              <w:jc w:val="right"/>
              <w:rPr>
                <w:rFonts w:cstheme="minorHAnsi"/>
                <w:color w:val="000000"/>
                <w:sz w:val="16"/>
                <w:szCs w:val="16"/>
              </w:rPr>
            </w:pPr>
            <w:r w:rsidRPr="008D777B">
              <w:rPr>
                <w:color w:val="000000"/>
                <w:sz w:val="16"/>
              </w:rPr>
              <w:t>-15,0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B6C4CC4" w14:textId="77777777" w:rsidR="004C78C0" w:rsidRPr="008D777B" w:rsidRDefault="004C78C0" w:rsidP="00654255">
            <w:pPr>
              <w:jc w:val="right"/>
              <w:rPr>
                <w:rFonts w:cstheme="minorHAnsi"/>
                <w:color w:val="000000"/>
                <w:sz w:val="16"/>
                <w:szCs w:val="16"/>
              </w:rPr>
            </w:pPr>
            <w:r w:rsidRPr="008D777B">
              <w:rPr>
                <w:color w:val="000000"/>
                <w:sz w:val="16"/>
              </w:rPr>
              <w:t>810,0</w:t>
            </w:r>
          </w:p>
        </w:tc>
      </w:tr>
      <w:tr w:rsidR="004C78C0" w:rsidRPr="008D777B" w14:paraId="1E958EA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CA02873" w14:textId="77777777" w:rsidR="004C78C0" w:rsidRPr="008D777B" w:rsidRDefault="004C78C0" w:rsidP="00654255">
            <w:pPr>
              <w:rPr>
                <w:rFonts w:cstheme="minorHAnsi"/>
                <w:color w:val="000000"/>
                <w:sz w:val="16"/>
                <w:szCs w:val="16"/>
              </w:rPr>
            </w:pPr>
            <w:r w:rsidRPr="008D777B">
              <w:rPr>
                <w:color w:val="000000"/>
                <w:sz w:val="16"/>
              </w:rPr>
              <w:t>Australie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73C7AD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641C413" w14:textId="77777777" w:rsidR="004C78C0" w:rsidRPr="008D777B" w:rsidRDefault="004C78C0" w:rsidP="00654255">
            <w:pPr>
              <w:jc w:val="right"/>
              <w:rPr>
                <w:rFonts w:cstheme="minorHAnsi"/>
                <w:color w:val="000000"/>
                <w:sz w:val="16"/>
                <w:szCs w:val="16"/>
              </w:rPr>
            </w:pPr>
            <w:r w:rsidRPr="008D777B">
              <w:rPr>
                <w:color w:val="000000"/>
                <w:sz w:val="16"/>
              </w:rPr>
              <w:t>68,4</w:t>
            </w:r>
          </w:p>
        </w:tc>
        <w:tc>
          <w:tcPr>
            <w:tcW w:w="990" w:type="dxa"/>
            <w:tcBorders>
              <w:top w:val="nil"/>
              <w:left w:val="nil"/>
              <w:bottom w:val="single" w:sz="4" w:space="0" w:color="FFFFFF"/>
              <w:right w:val="single" w:sz="4" w:space="0" w:color="FFFFFF"/>
            </w:tcBorders>
            <w:shd w:val="clear" w:color="auto" w:fill="auto"/>
            <w:vAlign w:val="bottom"/>
            <w:hideMark/>
          </w:tcPr>
          <w:p w14:paraId="540C06A9" w14:textId="77777777" w:rsidR="004C78C0" w:rsidRPr="008D777B" w:rsidRDefault="004C78C0" w:rsidP="00654255">
            <w:pPr>
              <w:jc w:val="right"/>
              <w:rPr>
                <w:rFonts w:cstheme="minorHAnsi"/>
                <w:color w:val="000000"/>
                <w:sz w:val="16"/>
                <w:szCs w:val="16"/>
              </w:rPr>
            </w:pPr>
            <w:r w:rsidRPr="008D777B">
              <w:rPr>
                <w:color w:val="000000"/>
                <w:sz w:val="16"/>
              </w:rPr>
              <w:t>17,4</w:t>
            </w:r>
          </w:p>
        </w:tc>
        <w:tc>
          <w:tcPr>
            <w:tcW w:w="673" w:type="dxa"/>
            <w:tcBorders>
              <w:top w:val="nil"/>
              <w:left w:val="nil"/>
              <w:bottom w:val="single" w:sz="4" w:space="0" w:color="FFFFFF"/>
              <w:right w:val="single" w:sz="4" w:space="0" w:color="auto"/>
            </w:tcBorders>
            <w:shd w:val="clear" w:color="auto" w:fill="auto"/>
            <w:noWrap/>
            <w:vAlign w:val="bottom"/>
            <w:hideMark/>
          </w:tcPr>
          <w:p w14:paraId="6C6861AD" w14:textId="77777777" w:rsidR="004C78C0" w:rsidRPr="008D777B" w:rsidRDefault="004C78C0" w:rsidP="00654255">
            <w:pPr>
              <w:jc w:val="right"/>
              <w:rPr>
                <w:rFonts w:cstheme="minorHAnsi"/>
                <w:color w:val="000000"/>
                <w:sz w:val="16"/>
                <w:szCs w:val="16"/>
              </w:rPr>
            </w:pPr>
            <w:r w:rsidRPr="008D777B">
              <w:rPr>
                <w:color w:val="000000"/>
                <w:sz w:val="16"/>
              </w:rPr>
              <w:t>-74,5</w:t>
            </w:r>
          </w:p>
        </w:tc>
        <w:tc>
          <w:tcPr>
            <w:tcW w:w="829" w:type="dxa"/>
            <w:tcBorders>
              <w:top w:val="nil"/>
              <w:left w:val="nil"/>
              <w:bottom w:val="single" w:sz="4" w:space="0" w:color="FFFFFF"/>
              <w:right w:val="single" w:sz="4" w:space="0" w:color="FFFFFF"/>
            </w:tcBorders>
            <w:shd w:val="clear" w:color="auto" w:fill="auto"/>
            <w:noWrap/>
            <w:vAlign w:val="bottom"/>
            <w:hideMark/>
          </w:tcPr>
          <w:p w14:paraId="7B781358" w14:textId="77777777" w:rsidR="004C78C0" w:rsidRPr="008D777B" w:rsidRDefault="004C78C0" w:rsidP="00654255">
            <w:pPr>
              <w:jc w:val="right"/>
              <w:rPr>
                <w:rFonts w:cstheme="minorHAnsi"/>
                <w:color w:val="000000"/>
                <w:sz w:val="16"/>
                <w:szCs w:val="16"/>
              </w:rPr>
            </w:pPr>
            <w:r w:rsidRPr="008D777B">
              <w:rPr>
                <w:color w:val="000000"/>
                <w:sz w:val="16"/>
              </w:rPr>
              <w:t>0,4</w:t>
            </w:r>
          </w:p>
        </w:tc>
        <w:tc>
          <w:tcPr>
            <w:tcW w:w="854" w:type="dxa"/>
            <w:tcBorders>
              <w:top w:val="nil"/>
              <w:left w:val="nil"/>
              <w:bottom w:val="single" w:sz="4" w:space="0" w:color="FFFFFF"/>
              <w:right w:val="single" w:sz="4" w:space="0" w:color="FFFFFF"/>
            </w:tcBorders>
            <w:shd w:val="clear" w:color="auto" w:fill="auto"/>
            <w:noWrap/>
            <w:vAlign w:val="bottom"/>
            <w:hideMark/>
          </w:tcPr>
          <w:p w14:paraId="488B0D94" w14:textId="77777777" w:rsidR="004C78C0" w:rsidRPr="008D777B" w:rsidRDefault="004C78C0" w:rsidP="00654255">
            <w:pPr>
              <w:jc w:val="right"/>
              <w:rPr>
                <w:rFonts w:cstheme="minorHAnsi"/>
                <w:color w:val="000000"/>
                <w:sz w:val="16"/>
                <w:szCs w:val="16"/>
              </w:rPr>
            </w:pPr>
            <w:r w:rsidRPr="008D777B">
              <w:rPr>
                <w:color w:val="000000"/>
                <w:sz w:val="16"/>
              </w:rPr>
              <w:t>2.516,9</w:t>
            </w:r>
          </w:p>
        </w:tc>
        <w:tc>
          <w:tcPr>
            <w:tcW w:w="854" w:type="dxa"/>
            <w:tcBorders>
              <w:top w:val="nil"/>
              <w:left w:val="nil"/>
              <w:bottom w:val="single" w:sz="4" w:space="0" w:color="FFFFFF"/>
              <w:right w:val="single" w:sz="4" w:space="0" w:color="FFFFFF"/>
            </w:tcBorders>
            <w:shd w:val="clear" w:color="auto" w:fill="auto"/>
            <w:noWrap/>
            <w:vAlign w:val="bottom"/>
            <w:hideMark/>
          </w:tcPr>
          <w:p w14:paraId="1994D54A" w14:textId="77777777" w:rsidR="004C78C0" w:rsidRPr="008D777B" w:rsidRDefault="004C78C0" w:rsidP="00654255">
            <w:pPr>
              <w:jc w:val="right"/>
              <w:rPr>
                <w:rFonts w:cstheme="minorHAnsi"/>
                <w:color w:val="000000"/>
                <w:sz w:val="16"/>
                <w:szCs w:val="16"/>
              </w:rPr>
            </w:pPr>
            <w:r w:rsidRPr="008D777B">
              <w:rPr>
                <w:color w:val="000000"/>
                <w:sz w:val="16"/>
              </w:rPr>
              <w:t>3.612,0</w:t>
            </w:r>
          </w:p>
        </w:tc>
        <w:tc>
          <w:tcPr>
            <w:tcW w:w="673" w:type="dxa"/>
            <w:tcBorders>
              <w:top w:val="nil"/>
              <w:left w:val="nil"/>
              <w:bottom w:val="single" w:sz="4" w:space="0" w:color="FFFFFF"/>
              <w:right w:val="nil"/>
            </w:tcBorders>
            <w:shd w:val="clear" w:color="auto" w:fill="auto"/>
            <w:noWrap/>
            <w:vAlign w:val="bottom"/>
            <w:hideMark/>
          </w:tcPr>
          <w:p w14:paraId="7DC72848" w14:textId="77777777" w:rsidR="004C78C0" w:rsidRPr="008D777B" w:rsidRDefault="004C78C0" w:rsidP="00654255">
            <w:pPr>
              <w:jc w:val="right"/>
              <w:rPr>
                <w:rFonts w:cstheme="minorHAnsi"/>
                <w:color w:val="000000"/>
                <w:sz w:val="16"/>
                <w:szCs w:val="16"/>
              </w:rPr>
            </w:pPr>
            <w:r w:rsidRPr="008D777B">
              <w:rPr>
                <w:color w:val="000000"/>
                <w:sz w:val="16"/>
              </w:rPr>
              <w:t>43,5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C615F65" w14:textId="77777777" w:rsidR="004C78C0" w:rsidRPr="008D777B" w:rsidRDefault="004C78C0" w:rsidP="00654255">
            <w:pPr>
              <w:jc w:val="right"/>
              <w:rPr>
                <w:rFonts w:cstheme="minorHAnsi"/>
                <w:color w:val="000000"/>
                <w:sz w:val="16"/>
                <w:szCs w:val="16"/>
              </w:rPr>
            </w:pPr>
            <w:r w:rsidRPr="008D777B">
              <w:rPr>
                <w:color w:val="000000"/>
                <w:sz w:val="16"/>
              </w:rPr>
              <w:t>20.718,3</w:t>
            </w:r>
          </w:p>
        </w:tc>
      </w:tr>
      <w:tr w:rsidR="004C78C0" w:rsidRPr="008D777B" w14:paraId="4EF98418"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A8EFBF4" w14:textId="77777777" w:rsidR="004C78C0" w:rsidRPr="008D777B" w:rsidRDefault="004C78C0" w:rsidP="00654255">
            <w:pPr>
              <w:rPr>
                <w:rFonts w:cstheme="minorHAnsi"/>
                <w:color w:val="000000"/>
                <w:sz w:val="16"/>
                <w:szCs w:val="16"/>
              </w:rPr>
            </w:pPr>
            <w:r w:rsidRPr="008D777B">
              <w:rPr>
                <w:color w:val="000000"/>
                <w:sz w:val="16"/>
              </w:rPr>
              <w:t>Canada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A64A49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20A4237" w14:textId="77777777" w:rsidR="004C78C0" w:rsidRPr="008D777B" w:rsidRDefault="004C78C0" w:rsidP="00654255">
            <w:pPr>
              <w:jc w:val="right"/>
              <w:rPr>
                <w:rFonts w:cstheme="minorHAnsi"/>
                <w:color w:val="000000"/>
                <w:sz w:val="16"/>
                <w:szCs w:val="16"/>
              </w:rPr>
            </w:pPr>
            <w:r w:rsidRPr="008D777B">
              <w:rPr>
                <w:color w:val="000000"/>
                <w:sz w:val="16"/>
              </w:rPr>
              <w:t>843,1</w:t>
            </w:r>
          </w:p>
        </w:tc>
        <w:tc>
          <w:tcPr>
            <w:tcW w:w="990" w:type="dxa"/>
            <w:tcBorders>
              <w:top w:val="nil"/>
              <w:left w:val="nil"/>
              <w:bottom w:val="single" w:sz="4" w:space="0" w:color="FFFFFF"/>
              <w:right w:val="single" w:sz="4" w:space="0" w:color="FFFFFF"/>
            </w:tcBorders>
            <w:shd w:val="clear" w:color="auto" w:fill="auto"/>
            <w:vAlign w:val="bottom"/>
            <w:hideMark/>
          </w:tcPr>
          <w:p w14:paraId="6E9B1544" w14:textId="77777777" w:rsidR="004C78C0" w:rsidRPr="008D777B" w:rsidRDefault="004C78C0" w:rsidP="00654255">
            <w:pPr>
              <w:jc w:val="right"/>
              <w:rPr>
                <w:rFonts w:cstheme="minorHAnsi"/>
                <w:color w:val="000000"/>
                <w:sz w:val="16"/>
                <w:szCs w:val="16"/>
              </w:rPr>
            </w:pPr>
            <w:r w:rsidRPr="008D777B">
              <w:rPr>
                <w:color w:val="000000"/>
                <w:sz w:val="16"/>
              </w:rPr>
              <w:t>259,0</w:t>
            </w:r>
          </w:p>
        </w:tc>
        <w:tc>
          <w:tcPr>
            <w:tcW w:w="673" w:type="dxa"/>
            <w:tcBorders>
              <w:top w:val="nil"/>
              <w:left w:val="nil"/>
              <w:bottom w:val="single" w:sz="4" w:space="0" w:color="FFFFFF"/>
              <w:right w:val="single" w:sz="4" w:space="0" w:color="auto"/>
            </w:tcBorders>
            <w:shd w:val="clear" w:color="auto" w:fill="auto"/>
            <w:noWrap/>
            <w:vAlign w:val="bottom"/>
            <w:hideMark/>
          </w:tcPr>
          <w:p w14:paraId="4E8BB103" w14:textId="77777777" w:rsidR="004C78C0" w:rsidRPr="008D777B" w:rsidRDefault="004C78C0" w:rsidP="00654255">
            <w:pPr>
              <w:jc w:val="right"/>
              <w:rPr>
                <w:rFonts w:cstheme="minorHAnsi"/>
                <w:color w:val="000000"/>
                <w:sz w:val="16"/>
                <w:szCs w:val="16"/>
              </w:rPr>
            </w:pPr>
            <w:r w:rsidRPr="008D777B">
              <w:rPr>
                <w:color w:val="000000"/>
                <w:sz w:val="16"/>
              </w:rPr>
              <w:t>-69,3</w:t>
            </w:r>
          </w:p>
        </w:tc>
        <w:tc>
          <w:tcPr>
            <w:tcW w:w="829" w:type="dxa"/>
            <w:tcBorders>
              <w:top w:val="nil"/>
              <w:left w:val="nil"/>
              <w:bottom w:val="single" w:sz="4" w:space="0" w:color="FFFFFF"/>
              <w:right w:val="single" w:sz="4" w:space="0" w:color="FFFFFF"/>
            </w:tcBorders>
            <w:shd w:val="clear" w:color="auto" w:fill="auto"/>
            <w:noWrap/>
            <w:vAlign w:val="bottom"/>
            <w:hideMark/>
          </w:tcPr>
          <w:p w14:paraId="60129BBA" w14:textId="77777777" w:rsidR="004C78C0" w:rsidRPr="008D777B" w:rsidRDefault="004C78C0" w:rsidP="00654255">
            <w:pPr>
              <w:jc w:val="right"/>
              <w:rPr>
                <w:rFonts w:cstheme="minorHAnsi"/>
                <w:color w:val="000000"/>
                <w:sz w:val="16"/>
                <w:szCs w:val="16"/>
              </w:rPr>
            </w:pPr>
            <w:r w:rsidRPr="008D777B">
              <w:rPr>
                <w:color w:val="000000"/>
                <w:sz w:val="16"/>
              </w:rPr>
              <w:t>0,3</w:t>
            </w:r>
          </w:p>
        </w:tc>
        <w:tc>
          <w:tcPr>
            <w:tcW w:w="854" w:type="dxa"/>
            <w:tcBorders>
              <w:top w:val="nil"/>
              <w:left w:val="nil"/>
              <w:bottom w:val="single" w:sz="4" w:space="0" w:color="FFFFFF"/>
              <w:right w:val="single" w:sz="4" w:space="0" w:color="FFFFFF"/>
            </w:tcBorders>
            <w:shd w:val="clear" w:color="auto" w:fill="auto"/>
            <w:noWrap/>
            <w:vAlign w:val="bottom"/>
            <w:hideMark/>
          </w:tcPr>
          <w:p w14:paraId="44ED0E07" w14:textId="77777777" w:rsidR="004C78C0" w:rsidRPr="008D777B" w:rsidRDefault="004C78C0" w:rsidP="00654255">
            <w:pPr>
              <w:jc w:val="right"/>
              <w:rPr>
                <w:rFonts w:cstheme="minorHAnsi"/>
                <w:color w:val="000000"/>
                <w:sz w:val="16"/>
                <w:szCs w:val="16"/>
              </w:rPr>
            </w:pPr>
            <w:r w:rsidRPr="008D777B">
              <w:rPr>
                <w:color w:val="000000"/>
                <w:sz w:val="16"/>
              </w:rPr>
              <w:t>1.378,3</w:t>
            </w:r>
          </w:p>
        </w:tc>
        <w:tc>
          <w:tcPr>
            <w:tcW w:w="854" w:type="dxa"/>
            <w:tcBorders>
              <w:top w:val="nil"/>
              <w:left w:val="nil"/>
              <w:bottom w:val="single" w:sz="4" w:space="0" w:color="FFFFFF"/>
              <w:right w:val="single" w:sz="4" w:space="0" w:color="FFFFFF"/>
            </w:tcBorders>
            <w:shd w:val="clear" w:color="auto" w:fill="auto"/>
            <w:noWrap/>
            <w:vAlign w:val="bottom"/>
            <w:hideMark/>
          </w:tcPr>
          <w:p w14:paraId="55400C1E" w14:textId="77777777" w:rsidR="004C78C0" w:rsidRPr="008D777B" w:rsidRDefault="004C78C0" w:rsidP="00654255">
            <w:pPr>
              <w:jc w:val="right"/>
              <w:rPr>
                <w:rFonts w:cstheme="minorHAnsi"/>
                <w:color w:val="000000"/>
                <w:sz w:val="16"/>
                <w:szCs w:val="16"/>
              </w:rPr>
            </w:pPr>
            <w:r w:rsidRPr="008D777B">
              <w:rPr>
                <w:color w:val="000000"/>
                <w:sz w:val="16"/>
              </w:rPr>
              <w:t>2.596,5</w:t>
            </w:r>
          </w:p>
        </w:tc>
        <w:tc>
          <w:tcPr>
            <w:tcW w:w="673" w:type="dxa"/>
            <w:tcBorders>
              <w:top w:val="nil"/>
              <w:left w:val="nil"/>
              <w:bottom w:val="single" w:sz="4" w:space="0" w:color="FFFFFF"/>
              <w:right w:val="nil"/>
            </w:tcBorders>
            <w:shd w:val="clear" w:color="auto" w:fill="auto"/>
            <w:noWrap/>
            <w:vAlign w:val="bottom"/>
            <w:hideMark/>
          </w:tcPr>
          <w:p w14:paraId="151DB21E" w14:textId="77777777" w:rsidR="004C78C0" w:rsidRPr="008D777B" w:rsidRDefault="004C78C0" w:rsidP="00654255">
            <w:pPr>
              <w:jc w:val="right"/>
              <w:rPr>
                <w:rFonts w:cstheme="minorHAnsi"/>
                <w:color w:val="000000"/>
                <w:sz w:val="16"/>
                <w:szCs w:val="16"/>
              </w:rPr>
            </w:pPr>
            <w:r w:rsidRPr="008D777B">
              <w:rPr>
                <w:color w:val="000000"/>
                <w:sz w:val="16"/>
              </w:rPr>
              <w:t>88,4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F46ECDC" w14:textId="77777777" w:rsidR="004C78C0" w:rsidRPr="008D777B" w:rsidRDefault="004C78C0" w:rsidP="00654255">
            <w:pPr>
              <w:jc w:val="right"/>
              <w:rPr>
                <w:rFonts w:cstheme="minorHAnsi"/>
                <w:color w:val="000000"/>
                <w:sz w:val="16"/>
                <w:szCs w:val="16"/>
              </w:rPr>
            </w:pPr>
            <w:r w:rsidRPr="008D777B">
              <w:rPr>
                <w:color w:val="000000"/>
                <w:sz w:val="16"/>
              </w:rPr>
              <w:t>1.002,5</w:t>
            </w:r>
          </w:p>
        </w:tc>
      </w:tr>
      <w:tr w:rsidR="004C78C0" w:rsidRPr="008D777B" w14:paraId="4E255F9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54D7432" w14:textId="77777777" w:rsidR="004C78C0" w:rsidRPr="008D777B" w:rsidRDefault="004C78C0" w:rsidP="00654255">
            <w:pPr>
              <w:rPr>
                <w:rFonts w:cstheme="minorHAnsi"/>
                <w:color w:val="000000"/>
                <w:sz w:val="16"/>
                <w:szCs w:val="16"/>
              </w:rPr>
            </w:pPr>
            <w:r w:rsidRPr="008D777B">
              <w:rPr>
                <w:color w:val="000000"/>
                <w:sz w:val="16"/>
              </w:rPr>
              <w:t>Israël</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76F7616" w14:textId="77777777" w:rsidR="004C78C0" w:rsidRPr="008D777B" w:rsidRDefault="004C78C0" w:rsidP="00654255">
            <w:pPr>
              <w:jc w:val="right"/>
              <w:rPr>
                <w:rFonts w:cstheme="minorHAnsi"/>
                <w:color w:val="000000"/>
                <w:sz w:val="16"/>
                <w:szCs w:val="16"/>
              </w:rPr>
            </w:pPr>
            <w:r w:rsidRPr="008D777B">
              <w:rPr>
                <w:color w:val="000000"/>
                <w:sz w:val="16"/>
              </w:rPr>
              <w:t>0,3</w:t>
            </w:r>
          </w:p>
        </w:tc>
        <w:tc>
          <w:tcPr>
            <w:tcW w:w="990" w:type="dxa"/>
            <w:tcBorders>
              <w:top w:val="nil"/>
              <w:left w:val="nil"/>
              <w:bottom w:val="single" w:sz="4" w:space="0" w:color="FFFFFF"/>
              <w:right w:val="single" w:sz="4" w:space="0" w:color="FFFFFF"/>
            </w:tcBorders>
            <w:shd w:val="clear" w:color="auto" w:fill="auto"/>
            <w:vAlign w:val="bottom"/>
            <w:hideMark/>
          </w:tcPr>
          <w:p w14:paraId="2A11EE41" w14:textId="77777777" w:rsidR="004C78C0" w:rsidRPr="008D777B" w:rsidRDefault="004C78C0" w:rsidP="00654255">
            <w:pPr>
              <w:jc w:val="right"/>
              <w:rPr>
                <w:rFonts w:cstheme="minorHAnsi"/>
                <w:color w:val="000000"/>
                <w:sz w:val="16"/>
                <w:szCs w:val="16"/>
              </w:rPr>
            </w:pPr>
            <w:r w:rsidRPr="008D777B">
              <w:rPr>
                <w:color w:val="000000"/>
                <w:sz w:val="16"/>
              </w:rPr>
              <w:t>2.627,5</w:t>
            </w:r>
          </w:p>
        </w:tc>
        <w:tc>
          <w:tcPr>
            <w:tcW w:w="990" w:type="dxa"/>
            <w:tcBorders>
              <w:top w:val="nil"/>
              <w:left w:val="nil"/>
              <w:bottom w:val="single" w:sz="4" w:space="0" w:color="FFFFFF"/>
              <w:right w:val="single" w:sz="4" w:space="0" w:color="FFFFFF"/>
            </w:tcBorders>
            <w:shd w:val="clear" w:color="auto" w:fill="auto"/>
            <w:vAlign w:val="bottom"/>
            <w:hideMark/>
          </w:tcPr>
          <w:p w14:paraId="0CEDF94D" w14:textId="77777777" w:rsidR="004C78C0" w:rsidRPr="008D777B" w:rsidRDefault="004C78C0" w:rsidP="00654255">
            <w:pPr>
              <w:jc w:val="right"/>
              <w:rPr>
                <w:rFonts w:cstheme="minorHAnsi"/>
                <w:color w:val="000000"/>
                <w:sz w:val="16"/>
                <w:szCs w:val="16"/>
              </w:rPr>
            </w:pPr>
            <w:r w:rsidRPr="008D777B">
              <w:rPr>
                <w:color w:val="000000"/>
                <w:sz w:val="16"/>
              </w:rPr>
              <w:t>3.693,0</w:t>
            </w:r>
          </w:p>
        </w:tc>
        <w:tc>
          <w:tcPr>
            <w:tcW w:w="673" w:type="dxa"/>
            <w:tcBorders>
              <w:top w:val="nil"/>
              <w:left w:val="nil"/>
              <w:bottom w:val="single" w:sz="4" w:space="0" w:color="FFFFFF"/>
              <w:right w:val="single" w:sz="4" w:space="0" w:color="auto"/>
            </w:tcBorders>
            <w:shd w:val="clear" w:color="auto" w:fill="auto"/>
            <w:noWrap/>
            <w:vAlign w:val="bottom"/>
            <w:hideMark/>
          </w:tcPr>
          <w:p w14:paraId="2081AF9A" w14:textId="77777777" w:rsidR="004C78C0" w:rsidRPr="008D777B" w:rsidRDefault="004C78C0" w:rsidP="00654255">
            <w:pPr>
              <w:jc w:val="right"/>
              <w:rPr>
                <w:rFonts w:cstheme="minorHAnsi"/>
                <w:color w:val="000000"/>
                <w:sz w:val="16"/>
                <w:szCs w:val="16"/>
              </w:rPr>
            </w:pPr>
            <w:r w:rsidRPr="008D777B">
              <w:rPr>
                <w:color w:val="000000"/>
                <w:sz w:val="16"/>
              </w:rPr>
              <w:t>40,6</w:t>
            </w:r>
          </w:p>
        </w:tc>
        <w:tc>
          <w:tcPr>
            <w:tcW w:w="829" w:type="dxa"/>
            <w:tcBorders>
              <w:top w:val="nil"/>
              <w:left w:val="nil"/>
              <w:bottom w:val="single" w:sz="4" w:space="0" w:color="FFFFFF"/>
              <w:right w:val="single" w:sz="4" w:space="0" w:color="FFFFFF"/>
            </w:tcBorders>
            <w:shd w:val="clear" w:color="auto" w:fill="auto"/>
            <w:noWrap/>
            <w:vAlign w:val="bottom"/>
            <w:hideMark/>
          </w:tcPr>
          <w:p w14:paraId="2A3A7C5D" w14:textId="77777777" w:rsidR="004C78C0" w:rsidRPr="008D777B" w:rsidRDefault="004C78C0" w:rsidP="00654255">
            <w:pPr>
              <w:jc w:val="right"/>
              <w:rPr>
                <w:rFonts w:cstheme="minorHAnsi"/>
                <w:color w:val="000000"/>
                <w:sz w:val="16"/>
                <w:szCs w:val="16"/>
              </w:rPr>
            </w:pPr>
            <w:r w:rsidRPr="008D777B">
              <w:rPr>
                <w:color w:val="000000"/>
                <w:sz w:val="16"/>
              </w:rPr>
              <w:t>0,3</w:t>
            </w:r>
          </w:p>
        </w:tc>
        <w:tc>
          <w:tcPr>
            <w:tcW w:w="854" w:type="dxa"/>
            <w:tcBorders>
              <w:top w:val="nil"/>
              <w:left w:val="nil"/>
              <w:bottom w:val="single" w:sz="4" w:space="0" w:color="FFFFFF"/>
              <w:right w:val="single" w:sz="4" w:space="0" w:color="FFFFFF"/>
            </w:tcBorders>
            <w:shd w:val="clear" w:color="auto" w:fill="auto"/>
            <w:noWrap/>
            <w:vAlign w:val="bottom"/>
            <w:hideMark/>
          </w:tcPr>
          <w:p w14:paraId="20C1D853" w14:textId="77777777" w:rsidR="004C78C0" w:rsidRPr="008D777B" w:rsidRDefault="004C78C0" w:rsidP="00654255">
            <w:pPr>
              <w:jc w:val="right"/>
              <w:rPr>
                <w:rFonts w:cstheme="minorHAnsi"/>
                <w:color w:val="000000"/>
                <w:sz w:val="16"/>
                <w:szCs w:val="16"/>
              </w:rPr>
            </w:pPr>
            <w:r w:rsidRPr="008D777B">
              <w:rPr>
                <w:color w:val="000000"/>
                <w:sz w:val="16"/>
              </w:rPr>
              <w:t>3.260,8</w:t>
            </w:r>
          </w:p>
        </w:tc>
        <w:tc>
          <w:tcPr>
            <w:tcW w:w="854" w:type="dxa"/>
            <w:tcBorders>
              <w:top w:val="nil"/>
              <w:left w:val="nil"/>
              <w:bottom w:val="single" w:sz="4" w:space="0" w:color="FFFFFF"/>
              <w:right w:val="single" w:sz="4" w:space="0" w:color="FFFFFF"/>
            </w:tcBorders>
            <w:shd w:val="clear" w:color="auto" w:fill="auto"/>
            <w:noWrap/>
            <w:vAlign w:val="bottom"/>
            <w:hideMark/>
          </w:tcPr>
          <w:p w14:paraId="4794A824" w14:textId="77777777" w:rsidR="004C78C0" w:rsidRPr="008D777B" w:rsidRDefault="004C78C0" w:rsidP="00654255">
            <w:pPr>
              <w:jc w:val="right"/>
              <w:rPr>
                <w:rFonts w:cstheme="minorHAnsi"/>
                <w:color w:val="000000"/>
                <w:sz w:val="16"/>
                <w:szCs w:val="16"/>
              </w:rPr>
            </w:pPr>
            <w:r w:rsidRPr="008D777B">
              <w:rPr>
                <w:color w:val="000000"/>
                <w:sz w:val="16"/>
              </w:rPr>
              <w:t>2.381,2</w:t>
            </w:r>
          </w:p>
        </w:tc>
        <w:tc>
          <w:tcPr>
            <w:tcW w:w="673" w:type="dxa"/>
            <w:tcBorders>
              <w:top w:val="nil"/>
              <w:left w:val="nil"/>
              <w:bottom w:val="single" w:sz="4" w:space="0" w:color="FFFFFF"/>
              <w:right w:val="nil"/>
            </w:tcBorders>
            <w:shd w:val="clear" w:color="auto" w:fill="auto"/>
            <w:noWrap/>
            <w:vAlign w:val="bottom"/>
            <w:hideMark/>
          </w:tcPr>
          <w:p w14:paraId="2D034B90" w14:textId="77777777" w:rsidR="004C78C0" w:rsidRPr="008D777B" w:rsidRDefault="004C78C0" w:rsidP="00654255">
            <w:pPr>
              <w:jc w:val="right"/>
              <w:rPr>
                <w:rFonts w:cstheme="minorHAnsi"/>
                <w:color w:val="000000"/>
                <w:sz w:val="16"/>
                <w:szCs w:val="16"/>
              </w:rPr>
            </w:pPr>
            <w:r w:rsidRPr="008D777B">
              <w:rPr>
                <w:color w:val="000000"/>
                <w:sz w:val="16"/>
              </w:rPr>
              <w:t>-27,0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7276AF06" w14:textId="77777777" w:rsidR="004C78C0" w:rsidRPr="008D777B" w:rsidRDefault="004C78C0" w:rsidP="00654255">
            <w:pPr>
              <w:jc w:val="right"/>
              <w:rPr>
                <w:rFonts w:cstheme="minorHAnsi"/>
                <w:color w:val="000000"/>
                <w:sz w:val="16"/>
                <w:szCs w:val="16"/>
              </w:rPr>
            </w:pPr>
            <w:r w:rsidRPr="008D777B">
              <w:rPr>
                <w:color w:val="000000"/>
                <w:sz w:val="16"/>
              </w:rPr>
              <w:t>64,5</w:t>
            </w:r>
          </w:p>
        </w:tc>
      </w:tr>
      <w:tr w:rsidR="004C78C0" w:rsidRPr="008D777B" w14:paraId="0AED9862"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AD1A2D7" w14:textId="77777777" w:rsidR="004C78C0" w:rsidRPr="008D777B" w:rsidRDefault="004C78C0" w:rsidP="00654255">
            <w:pPr>
              <w:rPr>
                <w:rFonts w:cstheme="minorHAnsi"/>
                <w:color w:val="000000"/>
                <w:sz w:val="16"/>
                <w:szCs w:val="16"/>
              </w:rPr>
            </w:pPr>
            <w:r w:rsidRPr="008D777B">
              <w:rPr>
                <w:color w:val="000000"/>
                <w:sz w:val="16"/>
              </w:rPr>
              <w:t>Singapour</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760CA4E"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73DCEA7" w14:textId="77777777" w:rsidR="004C78C0" w:rsidRPr="008D777B" w:rsidRDefault="004C78C0" w:rsidP="00654255">
            <w:pPr>
              <w:jc w:val="right"/>
              <w:rPr>
                <w:rFonts w:cstheme="minorHAnsi"/>
                <w:color w:val="000000"/>
                <w:sz w:val="16"/>
                <w:szCs w:val="16"/>
              </w:rPr>
            </w:pPr>
            <w:r w:rsidRPr="008D777B">
              <w:rPr>
                <w:color w:val="000000"/>
                <w:sz w:val="16"/>
              </w:rPr>
              <w:t>45,5</w:t>
            </w:r>
          </w:p>
        </w:tc>
        <w:tc>
          <w:tcPr>
            <w:tcW w:w="990" w:type="dxa"/>
            <w:tcBorders>
              <w:top w:val="nil"/>
              <w:left w:val="nil"/>
              <w:bottom w:val="single" w:sz="4" w:space="0" w:color="FFFFFF"/>
              <w:right w:val="single" w:sz="4" w:space="0" w:color="FFFFFF"/>
            </w:tcBorders>
            <w:shd w:val="clear" w:color="auto" w:fill="auto"/>
            <w:vAlign w:val="bottom"/>
            <w:hideMark/>
          </w:tcPr>
          <w:p w14:paraId="292DBEFA" w14:textId="77777777" w:rsidR="004C78C0" w:rsidRPr="008D777B" w:rsidRDefault="004C78C0" w:rsidP="00654255">
            <w:pPr>
              <w:jc w:val="right"/>
              <w:rPr>
                <w:rFonts w:cstheme="minorHAnsi"/>
                <w:color w:val="000000"/>
                <w:sz w:val="16"/>
                <w:szCs w:val="16"/>
              </w:rPr>
            </w:pPr>
            <w:r w:rsidRPr="008D777B">
              <w:rPr>
                <w:color w:val="000000"/>
                <w:sz w:val="16"/>
              </w:rPr>
              <w:t>0,8</w:t>
            </w:r>
          </w:p>
        </w:tc>
        <w:tc>
          <w:tcPr>
            <w:tcW w:w="673" w:type="dxa"/>
            <w:tcBorders>
              <w:top w:val="nil"/>
              <w:left w:val="nil"/>
              <w:bottom w:val="single" w:sz="4" w:space="0" w:color="FFFFFF"/>
              <w:right w:val="single" w:sz="4" w:space="0" w:color="auto"/>
            </w:tcBorders>
            <w:shd w:val="clear" w:color="auto" w:fill="auto"/>
            <w:noWrap/>
            <w:vAlign w:val="bottom"/>
            <w:hideMark/>
          </w:tcPr>
          <w:p w14:paraId="5B043C49" w14:textId="77777777" w:rsidR="004C78C0" w:rsidRPr="008D777B" w:rsidRDefault="004C78C0" w:rsidP="00654255">
            <w:pPr>
              <w:jc w:val="right"/>
              <w:rPr>
                <w:rFonts w:cstheme="minorHAnsi"/>
                <w:color w:val="000000"/>
                <w:sz w:val="16"/>
                <w:szCs w:val="16"/>
              </w:rPr>
            </w:pPr>
            <w:r w:rsidRPr="008D777B">
              <w:rPr>
                <w:color w:val="000000"/>
                <w:sz w:val="16"/>
              </w:rPr>
              <w:t>-98,3</w:t>
            </w:r>
          </w:p>
        </w:tc>
        <w:tc>
          <w:tcPr>
            <w:tcW w:w="829" w:type="dxa"/>
            <w:tcBorders>
              <w:top w:val="nil"/>
              <w:left w:val="nil"/>
              <w:bottom w:val="single" w:sz="4" w:space="0" w:color="FFFFFF"/>
              <w:right w:val="single" w:sz="4" w:space="0" w:color="FFFFFF"/>
            </w:tcBorders>
            <w:shd w:val="clear" w:color="auto" w:fill="auto"/>
            <w:noWrap/>
            <w:vAlign w:val="bottom"/>
            <w:hideMark/>
          </w:tcPr>
          <w:p w14:paraId="4C899097"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547CC30D" w14:textId="77777777" w:rsidR="004C78C0" w:rsidRPr="008D777B" w:rsidRDefault="004C78C0" w:rsidP="00654255">
            <w:pPr>
              <w:jc w:val="right"/>
              <w:rPr>
                <w:rFonts w:cstheme="minorHAnsi"/>
                <w:color w:val="000000"/>
                <w:sz w:val="16"/>
                <w:szCs w:val="16"/>
              </w:rPr>
            </w:pPr>
            <w:r w:rsidRPr="008D777B">
              <w:rPr>
                <w:color w:val="000000"/>
                <w:sz w:val="16"/>
              </w:rPr>
              <w:t>411,3</w:t>
            </w:r>
          </w:p>
        </w:tc>
        <w:tc>
          <w:tcPr>
            <w:tcW w:w="854" w:type="dxa"/>
            <w:tcBorders>
              <w:top w:val="nil"/>
              <w:left w:val="nil"/>
              <w:bottom w:val="single" w:sz="4" w:space="0" w:color="FFFFFF"/>
              <w:right w:val="single" w:sz="4" w:space="0" w:color="FFFFFF"/>
            </w:tcBorders>
            <w:shd w:val="clear" w:color="auto" w:fill="auto"/>
            <w:noWrap/>
            <w:vAlign w:val="bottom"/>
            <w:hideMark/>
          </w:tcPr>
          <w:p w14:paraId="5153AD87" w14:textId="77777777" w:rsidR="004C78C0" w:rsidRPr="008D777B" w:rsidRDefault="004C78C0" w:rsidP="00654255">
            <w:pPr>
              <w:jc w:val="right"/>
              <w:rPr>
                <w:rFonts w:cstheme="minorHAnsi"/>
                <w:color w:val="000000"/>
                <w:sz w:val="16"/>
                <w:szCs w:val="16"/>
              </w:rPr>
            </w:pPr>
            <w:r w:rsidRPr="008D777B">
              <w:rPr>
                <w:color w:val="000000"/>
                <w:sz w:val="16"/>
              </w:rPr>
              <w:t>2.005,8</w:t>
            </w:r>
          </w:p>
        </w:tc>
        <w:tc>
          <w:tcPr>
            <w:tcW w:w="673" w:type="dxa"/>
            <w:tcBorders>
              <w:top w:val="nil"/>
              <w:left w:val="nil"/>
              <w:bottom w:val="single" w:sz="4" w:space="0" w:color="FFFFFF"/>
              <w:right w:val="nil"/>
            </w:tcBorders>
            <w:shd w:val="clear" w:color="auto" w:fill="auto"/>
            <w:noWrap/>
            <w:vAlign w:val="bottom"/>
            <w:hideMark/>
          </w:tcPr>
          <w:p w14:paraId="1234EBCA" w14:textId="77777777" w:rsidR="004C78C0" w:rsidRPr="008D777B" w:rsidRDefault="004C78C0" w:rsidP="00654255">
            <w:pPr>
              <w:jc w:val="right"/>
              <w:rPr>
                <w:rFonts w:cstheme="minorHAnsi"/>
                <w:color w:val="000000"/>
                <w:sz w:val="16"/>
                <w:szCs w:val="16"/>
              </w:rPr>
            </w:pPr>
            <w:r w:rsidRPr="008D777B">
              <w:rPr>
                <w:color w:val="000000"/>
                <w:sz w:val="16"/>
              </w:rPr>
              <w:t>387,7</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3464C66" w14:textId="77777777" w:rsidR="004C78C0" w:rsidRPr="008D777B" w:rsidRDefault="004C78C0" w:rsidP="00654255">
            <w:pPr>
              <w:jc w:val="right"/>
              <w:rPr>
                <w:rFonts w:cstheme="minorHAnsi"/>
                <w:color w:val="000000"/>
                <w:sz w:val="16"/>
                <w:szCs w:val="16"/>
              </w:rPr>
            </w:pPr>
            <w:r w:rsidRPr="008D777B">
              <w:rPr>
                <w:color w:val="000000"/>
                <w:sz w:val="16"/>
              </w:rPr>
              <w:t>252.622,7</w:t>
            </w:r>
          </w:p>
        </w:tc>
      </w:tr>
      <w:tr w:rsidR="004C78C0" w:rsidRPr="008D777B" w14:paraId="778FAE3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7FBAB56" w14:textId="77777777" w:rsidR="004C78C0" w:rsidRPr="008D777B" w:rsidRDefault="004C78C0" w:rsidP="00654255">
            <w:pPr>
              <w:rPr>
                <w:rFonts w:cstheme="minorHAnsi"/>
                <w:color w:val="000000"/>
                <w:sz w:val="16"/>
                <w:szCs w:val="16"/>
              </w:rPr>
            </w:pPr>
            <w:r w:rsidRPr="008D777B">
              <w:rPr>
                <w:color w:val="000000"/>
                <w:sz w:val="16"/>
              </w:rPr>
              <w:t>Chine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CE8E3DF" w14:textId="77777777" w:rsidR="004C78C0" w:rsidRPr="008D777B" w:rsidRDefault="004C78C0" w:rsidP="00654255">
            <w:pPr>
              <w:jc w:val="right"/>
              <w:rPr>
                <w:rFonts w:cstheme="minorHAnsi"/>
                <w:color w:val="000000"/>
                <w:sz w:val="16"/>
                <w:szCs w:val="16"/>
              </w:rPr>
            </w:pPr>
            <w:r w:rsidRPr="008D777B">
              <w:rPr>
                <w:color w:val="000000"/>
                <w:sz w:val="16"/>
              </w:rPr>
              <w:t>29,6</w:t>
            </w:r>
          </w:p>
        </w:tc>
        <w:tc>
          <w:tcPr>
            <w:tcW w:w="990" w:type="dxa"/>
            <w:tcBorders>
              <w:top w:val="nil"/>
              <w:left w:val="nil"/>
              <w:bottom w:val="single" w:sz="4" w:space="0" w:color="FFFFFF"/>
              <w:right w:val="single" w:sz="4" w:space="0" w:color="FFFFFF"/>
            </w:tcBorders>
            <w:shd w:val="clear" w:color="auto" w:fill="auto"/>
            <w:vAlign w:val="bottom"/>
            <w:hideMark/>
          </w:tcPr>
          <w:p w14:paraId="3D7AD5DA" w14:textId="77777777" w:rsidR="004C78C0" w:rsidRPr="008D777B" w:rsidRDefault="004C78C0" w:rsidP="00654255">
            <w:pPr>
              <w:jc w:val="right"/>
              <w:rPr>
                <w:rFonts w:cstheme="minorHAnsi"/>
                <w:color w:val="000000"/>
                <w:sz w:val="16"/>
                <w:szCs w:val="16"/>
              </w:rPr>
            </w:pPr>
            <w:r w:rsidRPr="008D777B">
              <w:rPr>
                <w:color w:val="000000"/>
                <w:sz w:val="16"/>
              </w:rPr>
              <w:t>380.207,5</w:t>
            </w:r>
          </w:p>
        </w:tc>
        <w:tc>
          <w:tcPr>
            <w:tcW w:w="990" w:type="dxa"/>
            <w:tcBorders>
              <w:top w:val="nil"/>
              <w:left w:val="nil"/>
              <w:bottom w:val="single" w:sz="4" w:space="0" w:color="FFFFFF"/>
              <w:right w:val="single" w:sz="4" w:space="0" w:color="FFFFFF"/>
            </w:tcBorders>
            <w:shd w:val="clear" w:color="auto" w:fill="auto"/>
            <w:vAlign w:val="bottom"/>
            <w:hideMark/>
          </w:tcPr>
          <w:p w14:paraId="2C6ADF24" w14:textId="77777777" w:rsidR="004C78C0" w:rsidRPr="008D777B" w:rsidRDefault="004C78C0" w:rsidP="00654255">
            <w:pPr>
              <w:jc w:val="right"/>
              <w:rPr>
                <w:rFonts w:cstheme="minorHAnsi"/>
                <w:color w:val="000000"/>
                <w:sz w:val="16"/>
                <w:szCs w:val="16"/>
              </w:rPr>
            </w:pPr>
            <w:r w:rsidRPr="008D777B">
              <w:rPr>
                <w:color w:val="000000"/>
                <w:sz w:val="16"/>
              </w:rPr>
              <w:t>435.076,2</w:t>
            </w:r>
          </w:p>
        </w:tc>
        <w:tc>
          <w:tcPr>
            <w:tcW w:w="673" w:type="dxa"/>
            <w:tcBorders>
              <w:top w:val="nil"/>
              <w:left w:val="nil"/>
              <w:bottom w:val="single" w:sz="4" w:space="0" w:color="FFFFFF"/>
              <w:right w:val="single" w:sz="4" w:space="0" w:color="auto"/>
            </w:tcBorders>
            <w:shd w:val="clear" w:color="auto" w:fill="auto"/>
            <w:noWrap/>
            <w:vAlign w:val="bottom"/>
            <w:hideMark/>
          </w:tcPr>
          <w:p w14:paraId="1AFF44D8" w14:textId="77777777" w:rsidR="004C78C0" w:rsidRPr="008D777B" w:rsidRDefault="004C78C0" w:rsidP="00654255">
            <w:pPr>
              <w:jc w:val="right"/>
              <w:rPr>
                <w:rFonts w:cstheme="minorHAnsi"/>
                <w:color w:val="000000"/>
                <w:sz w:val="16"/>
                <w:szCs w:val="16"/>
              </w:rPr>
            </w:pPr>
            <w:r w:rsidRPr="008D777B">
              <w:rPr>
                <w:color w:val="000000"/>
                <w:sz w:val="16"/>
              </w:rPr>
              <w:t>14,4</w:t>
            </w:r>
          </w:p>
        </w:tc>
        <w:tc>
          <w:tcPr>
            <w:tcW w:w="829" w:type="dxa"/>
            <w:tcBorders>
              <w:top w:val="nil"/>
              <w:left w:val="nil"/>
              <w:bottom w:val="single" w:sz="4" w:space="0" w:color="FFFFFF"/>
              <w:right w:val="single" w:sz="4" w:space="0" w:color="FFFFFF"/>
            </w:tcBorders>
            <w:shd w:val="clear" w:color="auto" w:fill="auto"/>
            <w:noWrap/>
            <w:vAlign w:val="bottom"/>
            <w:hideMark/>
          </w:tcPr>
          <w:p w14:paraId="4E00C100"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0DF8EF20" w14:textId="77777777" w:rsidR="004C78C0" w:rsidRPr="008D777B" w:rsidRDefault="004C78C0" w:rsidP="00654255">
            <w:pPr>
              <w:jc w:val="right"/>
              <w:rPr>
                <w:rFonts w:cstheme="minorHAnsi"/>
                <w:color w:val="000000"/>
                <w:sz w:val="16"/>
                <w:szCs w:val="16"/>
              </w:rPr>
            </w:pPr>
            <w:r w:rsidRPr="008D777B">
              <w:rPr>
                <w:color w:val="000000"/>
                <w:sz w:val="16"/>
              </w:rPr>
              <w:t>2.905,6</w:t>
            </w:r>
          </w:p>
        </w:tc>
        <w:tc>
          <w:tcPr>
            <w:tcW w:w="854" w:type="dxa"/>
            <w:tcBorders>
              <w:top w:val="nil"/>
              <w:left w:val="nil"/>
              <w:bottom w:val="single" w:sz="4" w:space="0" w:color="FFFFFF"/>
              <w:right w:val="single" w:sz="4" w:space="0" w:color="FFFFFF"/>
            </w:tcBorders>
            <w:shd w:val="clear" w:color="auto" w:fill="auto"/>
            <w:noWrap/>
            <w:vAlign w:val="bottom"/>
            <w:hideMark/>
          </w:tcPr>
          <w:p w14:paraId="21FA551A" w14:textId="77777777" w:rsidR="004C78C0" w:rsidRPr="008D777B" w:rsidRDefault="004C78C0" w:rsidP="00654255">
            <w:pPr>
              <w:jc w:val="right"/>
              <w:rPr>
                <w:rFonts w:cstheme="minorHAnsi"/>
                <w:color w:val="000000"/>
                <w:sz w:val="16"/>
                <w:szCs w:val="16"/>
              </w:rPr>
            </w:pPr>
            <w:r w:rsidRPr="008D777B">
              <w:rPr>
                <w:color w:val="000000"/>
                <w:sz w:val="16"/>
              </w:rPr>
              <w:t>1.687,5</w:t>
            </w:r>
          </w:p>
        </w:tc>
        <w:tc>
          <w:tcPr>
            <w:tcW w:w="673" w:type="dxa"/>
            <w:tcBorders>
              <w:top w:val="nil"/>
              <w:left w:val="nil"/>
              <w:bottom w:val="single" w:sz="4" w:space="0" w:color="FFFFFF"/>
              <w:right w:val="nil"/>
            </w:tcBorders>
            <w:shd w:val="clear" w:color="auto" w:fill="auto"/>
            <w:noWrap/>
            <w:vAlign w:val="bottom"/>
            <w:hideMark/>
          </w:tcPr>
          <w:p w14:paraId="1B9F7BF2" w14:textId="77777777" w:rsidR="004C78C0" w:rsidRPr="008D777B" w:rsidRDefault="004C78C0" w:rsidP="00654255">
            <w:pPr>
              <w:jc w:val="right"/>
              <w:rPr>
                <w:rFonts w:cstheme="minorHAnsi"/>
                <w:color w:val="000000"/>
                <w:sz w:val="16"/>
                <w:szCs w:val="16"/>
              </w:rPr>
            </w:pPr>
            <w:r w:rsidRPr="008D777B">
              <w:rPr>
                <w:color w:val="000000"/>
                <w:sz w:val="16"/>
              </w:rPr>
              <w:t>-41,9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062C0EA" w14:textId="77777777" w:rsidR="004C78C0" w:rsidRPr="008D777B" w:rsidRDefault="004C78C0" w:rsidP="00654255">
            <w:pPr>
              <w:jc w:val="right"/>
              <w:rPr>
                <w:rFonts w:cstheme="minorHAnsi"/>
                <w:color w:val="000000"/>
                <w:sz w:val="16"/>
                <w:szCs w:val="16"/>
              </w:rPr>
            </w:pPr>
            <w:r w:rsidRPr="008D777B">
              <w:rPr>
                <w:color w:val="000000"/>
                <w:sz w:val="16"/>
              </w:rPr>
              <w:t>0,4</w:t>
            </w:r>
          </w:p>
        </w:tc>
      </w:tr>
      <w:tr w:rsidR="004C78C0" w:rsidRPr="008D777B" w14:paraId="2C5077D3"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E1B72AF" w14:textId="77777777" w:rsidR="004C78C0" w:rsidRPr="008D777B" w:rsidRDefault="004C78C0" w:rsidP="00654255">
            <w:pPr>
              <w:rPr>
                <w:rFonts w:cstheme="minorHAnsi"/>
                <w:color w:val="000000"/>
                <w:sz w:val="16"/>
                <w:szCs w:val="16"/>
              </w:rPr>
            </w:pPr>
            <w:r w:rsidRPr="008D777B">
              <w:rPr>
                <w:color w:val="000000"/>
                <w:sz w:val="16"/>
              </w:rPr>
              <w:t>R.D. du Congo</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E0B836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ABD12D5" w14:textId="77777777" w:rsidR="004C78C0" w:rsidRPr="008D777B" w:rsidRDefault="004C78C0" w:rsidP="00654255">
            <w:pPr>
              <w:jc w:val="right"/>
              <w:rPr>
                <w:rFonts w:cstheme="minorHAnsi"/>
                <w:color w:val="000000"/>
                <w:sz w:val="16"/>
                <w:szCs w:val="16"/>
              </w:rPr>
            </w:pPr>
            <w:r w:rsidRPr="008D777B">
              <w:rPr>
                <w:color w:val="000000"/>
                <w:sz w:val="16"/>
              </w:rPr>
              <w:t>0,5</w:t>
            </w:r>
          </w:p>
        </w:tc>
        <w:tc>
          <w:tcPr>
            <w:tcW w:w="990" w:type="dxa"/>
            <w:tcBorders>
              <w:top w:val="nil"/>
              <w:left w:val="nil"/>
              <w:bottom w:val="single" w:sz="4" w:space="0" w:color="FFFFFF"/>
              <w:right w:val="single" w:sz="4" w:space="0" w:color="FFFFFF"/>
            </w:tcBorders>
            <w:shd w:val="clear" w:color="auto" w:fill="auto"/>
            <w:vAlign w:val="bottom"/>
            <w:hideMark/>
          </w:tcPr>
          <w:p w14:paraId="42885E5B" w14:textId="77777777" w:rsidR="004C78C0" w:rsidRPr="008D777B" w:rsidRDefault="004C78C0" w:rsidP="00654255">
            <w:pPr>
              <w:jc w:val="right"/>
              <w:rPr>
                <w:rFonts w:cstheme="minorHAnsi"/>
                <w:color w:val="000000"/>
                <w:sz w:val="16"/>
                <w:szCs w:val="16"/>
              </w:rPr>
            </w:pPr>
            <w:r w:rsidRPr="008D777B">
              <w:rPr>
                <w:color w:val="000000"/>
                <w:sz w:val="16"/>
              </w:rPr>
              <w:t>0,9</w:t>
            </w:r>
          </w:p>
        </w:tc>
        <w:tc>
          <w:tcPr>
            <w:tcW w:w="673" w:type="dxa"/>
            <w:tcBorders>
              <w:top w:val="nil"/>
              <w:left w:val="nil"/>
              <w:bottom w:val="single" w:sz="4" w:space="0" w:color="FFFFFF"/>
              <w:right w:val="single" w:sz="4" w:space="0" w:color="auto"/>
            </w:tcBorders>
            <w:shd w:val="clear" w:color="auto" w:fill="auto"/>
            <w:noWrap/>
            <w:vAlign w:val="bottom"/>
            <w:hideMark/>
          </w:tcPr>
          <w:p w14:paraId="04988EF8" w14:textId="77777777" w:rsidR="004C78C0" w:rsidRPr="008D777B" w:rsidRDefault="004C78C0" w:rsidP="00654255">
            <w:pPr>
              <w:jc w:val="right"/>
              <w:rPr>
                <w:rFonts w:cstheme="minorHAnsi"/>
                <w:color w:val="000000"/>
                <w:sz w:val="16"/>
                <w:szCs w:val="16"/>
              </w:rPr>
            </w:pPr>
            <w:r w:rsidRPr="008D777B">
              <w:rPr>
                <w:color w:val="000000"/>
                <w:sz w:val="16"/>
              </w:rPr>
              <w:t>84,5</w:t>
            </w:r>
          </w:p>
        </w:tc>
        <w:tc>
          <w:tcPr>
            <w:tcW w:w="829" w:type="dxa"/>
            <w:tcBorders>
              <w:top w:val="nil"/>
              <w:left w:val="nil"/>
              <w:bottom w:val="single" w:sz="4" w:space="0" w:color="FFFFFF"/>
              <w:right w:val="single" w:sz="4" w:space="0" w:color="FFFFFF"/>
            </w:tcBorders>
            <w:shd w:val="clear" w:color="auto" w:fill="auto"/>
            <w:noWrap/>
            <w:vAlign w:val="bottom"/>
            <w:hideMark/>
          </w:tcPr>
          <w:p w14:paraId="6BB185A0"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14603A8C" w14:textId="77777777" w:rsidR="004C78C0" w:rsidRPr="008D777B" w:rsidRDefault="004C78C0" w:rsidP="00654255">
            <w:pPr>
              <w:jc w:val="right"/>
              <w:rPr>
                <w:rFonts w:cstheme="minorHAnsi"/>
                <w:color w:val="000000"/>
                <w:sz w:val="16"/>
                <w:szCs w:val="16"/>
              </w:rPr>
            </w:pPr>
            <w:r w:rsidRPr="008D777B">
              <w:rPr>
                <w:color w:val="000000"/>
                <w:sz w:val="16"/>
              </w:rPr>
              <w:t>900,1</w:t>
            </w:r>
          </w:p>
        </w:tc>
        <w:tc>
          <w:tcPr>
            <w:tcW w:w="854" w:type="dxa"/>
            <w:tcBorders>
              <w:top w:val="nil"/>
              <w:left w:val="nil"/>
              <w:bottom w:val="single" w:sz="4" w:space="0" w:color="FFFFFF"/>
              <w:right w:val="single" w:sz="4" w:space="0" w:color="FFFFFF"/>
            </w:tcBorders>
            <w:shd w:val="clear" w:color="auto" w:fill="auto"/>
            <w:noWrap/>
            <w:vAlign w:val="bottom"/>
            <w:hideMark/>
          </w:tcPr>
          <w:p w14:paraId="4AB2C43B" w14:textId="77777777" w:rsidR="004C78C0" w:rsidRPr="008D777B" w:rsidRDefault="004C78C0" w:rsidP="00654255">
            <w:pPr>
              <w:jc w:val="right"/>
              <w:rPr>
                <w:rFonts w:cstheme="minorHAnsi"/>
                <w:color w:val="000000"/>
                <w:sz w:val="16"/>
                <w:szCs w:val="16"/>
              </w:rPr>
            </w:pPr>
            <w:r w:rsidRPr="008D777B">
              <w:rPr>
                <w:color w:val="000000"/>
                <w:sz w:val="16"/>
              </w:rPr>
              <w:t>1.410,6</w:t>
            </w:r>
          </w:p>
        </w:tc>
        <w:tc>
          <w:tcPr>
            <w:tcW w:w="673" w:type="dxa"/>
            <w:tcBorders>
              <w:top w:val="nil"/>
              <w:left w:val="nil"/>
              <w:bottom w:val="single" w:sz="4" w:space="0" w:color="FFFFFF"/>
              <w:right w:val="nil"/>
            </w:tcBorders>
            <w:shd w:val="clear" w:color="auto" w:fill="auto"/>
            <w:noWrap/>
            <w:vAlign w:val="bottom"/>
            <w:hideMark/>
          </w:tcPr>
          <w:p w14:paraId="471EEE30" w14:textId="77777777" w:rsidR="004C78C0" w:rsidRPr="008D777B" w:rsidRDefault="004C78C0" w:rsidP="00654255">
            <w:pPr>
              <w:jc w:val="right"/>
              <w:rPr>
                <w:rFonts w:cstheme="minorHAnsi"/>
                <w:color w:val="000000"/>
                <w:sz w:val="16"/>
                <w:szCs w:val="16"/>
              </w:rPr>
            </w:pPr>
            <w:r w:rsidRPr="008D777B">
              <w:rPr>
                <w:color w:val="000000"/>
                <w:sz w:val="16"/>
              </w:rPr>
              <w:t>56,7</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8A490B7" w14:textId="77777777" w:rsidR="004C78C0" w:rsidRPr="008D777B" w:rsidRDefault="004C78C0" w:rsidP="00654255">
            <w:pPr>
              <w:jc w:val="right"/>
              <w:rPr>
                <w:rFonts w:cstheme="minorHAnsi"/>
                <w:color w:val="000000"/>
                <w:sz w:val="16"/>
                <w:szCs w:val="16"/>
              </w:rPr>
            </w:pPr>
            <w:r w:rsidRPr="008D777B">
              <w:rPr>
                <w:color w:val="000000"/>
                <w:sz w:val="16"/>
              </w:rPr>
              <w:t>164.791,7</w:t>
            </w:r>
          </w:p>
        </w:tc>
      </w:tr>
      <w:tr w:rsidR="004C78C0" w:rsidRPr="008D777B" w14:paraId="72E729CF"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611AE19" w14:textId="77777777" w:rsidR="004C78C0" w:rsidRPr="008D777B" w:rsidRDefault="004C78C0" w:rsidP="00654255">
            <w:pPr>
              <w:rPr>
                <w:rFonts w:cstheme="minorHAnsi"/>
                <w:color w:val="000000"/>
                <w:sz w:val="16"/>
                <w:szCs w:val="16"/>
              </w:rPr>
            </w:pPr>
            <w:r w:rsidRPr="008D777B">
              <w:rPr>
                <w:color w:val="000000"/>
                <w:sz w:val="16"/>
              </w:rPr>
              <w:t>EAU</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F50C3C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872B8AD" w14:textId="77777777" w:rsidR="004C78C0" w:rsidRPr="008D777B" w:rsidRDefault="004C78C0" w:rsidP="00654255">
            <w:pPr>
              <w:jc w:val="right"/>
              <w:rPr>
                <w:rFonts w:cstheme="minorHAnsi"/>
                <w:color w:val="000000"/>
                <w:sz w:val="16"/>
                <w:szCs w:val="16"/>
              </w:rPr>
            </w:pPr>
            <w:r w:rsidRPr="008D777B">
              <w:rPr>
                <w:color w:val="000000"/>
                <w:sz w:val="16"/>
              </w:rPr>
              <w:t>75,5</w:t>
            </w:r>
          </w:p>
        </w:tc>
        <w:tc>
          <w:tcPr>
            <w:tcW w:w="990" w:type="dxa"/>
            <w:tcBorders>
              <w:top w:val="nil"/>
              <w:left w:val="nil"/>
              <w:bottom w:val="single" w:sz="4" w:space="0" w:color="FFFFFF"/>
              <w:right w:val="single" w:sz="4" w:space="0" w:color="FFFFFF"/>
            </w:tcBorders>
            <w:shd w:val="clear" w:color="auto" w:fill="auto"/>
            <w:vAlign w:val="bottom"/>
            <w:hideMark/>
          </w:tcPr>
          <w:p w14:paraId="54239E76" w14:textId="77777777" w:rsidR="004C78C0" w:rsidRPr="008D777B" w:rsidRDefault="004C78C0" w:rsidP="00654255">
            <w:pPr>
              <w:jc w:val="right"/>
              <w:rPr>
                <w:rFonts w:cstheme="minorHAnsi"/>
                <w:color w:val="000000"/>
                <w:sz w:val="16"/>
                <w:szCs w:val="16"/>
              </w:rPr>
            </w:pPr>
            <w:r w:rsidRPr="008D777B">
              <w:rPr>
                <w:color w:val="000000"/>
                <w:sz w:val="16"/>
              </w:rPr>
              <w:t>20,9</w:t>
            </w:r>
          </w:p>
        </w:tc>
        <w:tc>
          <w:tcPr>
            <w:tcW w:w="673" w:type="dxa"/>
            <w:tcBorders>
              <w:top w:val="nil"/>
              <w:left w:val="nil"/>
              <w:bottom w:val="single" w:sz="4" w:space="0" w:color="FFFFFF"/>
              <w:right w:val="single" w:sz="4" w:space="0" w:color="auto"/>
            </w:tcBorders>
            <w:shd w:val="clear" w:color="auto" w:fill="auto"/>
            <w:noWrap/>
            <w:vAlign w:val="bottom"/>
            <w:hideMark/>
          </w:tcPr>
          <w:p w14:paraId="7582F7FF" w14:textId="77777777" w:rsidR="004C78C0" w:rsidRPr="008D777B" w:rsidRDefault="004C78C0" w:rsidP="00654255">
            <w:pPr>
              <w:jc w:val="right"/>
              <w:rPr>
                <w:rFonts w:cstheme="minorHAnsi"/>
                <w:color w:val="000000"/>
                <w:sz w:val="16"/>
                <w:szCs w:val="16"/>
              </w:rPr>
            </w:pPr>
            <w:r w:rsidRPr="008D777B">
              <w:rPr>
                <w:color w:val="000000"/>
                <w:sz w:val="16"/>
              </w:rPr>
              <w:t>-72,3</w:t>
            </w:r>
          </w:p>
        </w:tc>
        <w:tc>
          <w:tcPr>
            <w:tcW w:w="829" w:type="dxa"/>
            <w:tcBorders>
              <w:top w:val="nil"/>
              <w:left w:val="nil"/>
              <w:bottom w:val="single" w:sz="4" w:space="0" w:color="FFFFFF"/>
              <w:right w:val="single" w:sz="4" w:space="0" w:color="FFFFFF"/>
            </w:tcBorders>
            <w:shd w:val="clear" w:color="auto" w:fill="auto"/>
            <w:noWrap/>
            <w:vAlign w:val="bottom"/>
            <w:hideMark/>
          </w:tcPr>
          <w:p w14:paraId="3C70D764"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854" w:type="dxa"/>
            <w:tcBorders>
              <w:top w:val="nil"/>
              <w:left w:val="nil"/>
              <w:bottom w:val="single" w:sz="4" w:space="0" w:color="FFFFFF"/>
              <w:right w:val="single" w:sz="4" w:space="0" w:color="FFFFFF"/>
            </w:tcBorders>
            <w:shd w:val="clear" w:color="auto" w:fill="auto"/>
            <w:noWrap/>
            <w:vAlign w:val="bottom"/>
            <w:hideMark/>
          </w:tcPr>
          <w:p w14:paraId="5003E494" w14:textId="77777777" w:rsidR="004C78C0" w:rsidRPr="008D777B" w:rsidRDefault="004C78C0" w:rsidP="00654255">
            <w:pPr>
              <w:jc w:val="right"/>
              <w:rPr>
                <w:rFonts w:cstheme="minorHAnsi"/>
                <w:color w:val="000000"/>
                <w:sz w:val="16"/>
                <w:szCs w:val="16"/>
              </w:rPr>
            </w:pPr>
            <w:r w:rsidRPr="008D777B">
              <w:rPr>
                <w:color w:val="000000"/>
                <w:sz w:val="16"/>
              </w:rPr>
              <w:t>1.395,3</w:t>
            </w:r>
          </w:p>
        </w:tc>
        <w:tc>
          <w:tcPr>
            <w:tcW w:w="854" w:type="dxa"/>
            <w:tcBorders>
              <w:top w:val="nil"/>
              <w:left w:val="nil"/>
              <w:bottom w:val="single" w:sz="4" w:space="0" w:color="FFFFFF"/>
              <w:right w:val="single" w:sz="4" w:space="0" w:color="FFFFFF"/>
            </w:tcBorders>
            <w:shd w:val="clear" w:color="auto" w:fill="auto"/>
            <w:noWrap/>
            <w:vAlign w:val="bottom"/>
            <w:hideMark/>
          </w:tcPr>
          <w:p w14:paraId="4064E605" w14:textId="77777777" w:rsidR="004C78C0" w:rsidRPr="008D777B" w:rsidRDefault="004C78C0" w:rsidP="00654255">
            <w:pPr>
              <w:jc w:val="right"/>
              <w:rPr>
                <w:rFonts w:cstheme="minorHAnsi"/>
                <w:color w:val="000000"/>
                <w:sz w:val="16"/>
                <w:szCs w:val="16"/>
              </w:rPr>
            </w:pPr>
            <w:r w:rsidRPr="008D777B">
              <w:rPr>
                <w:color w:val="000000"/>
                <w:sz w:val="16"/>
              </w:rPr>
              <w:t>1.374,4</w:t>
            </w:r>
          </w:p>
        </w:tc>
        <w:tc>
          <w:tcPr>
            <w:tcW w:w="673" w:type="dxa"/>
            <w:tcBorders>
              <w:top w:val="nil"/>
              <w:left w:val="nil"/>
              <w:bottom w:val="single" w:sz="4" w:space="0" w:color="FFFFFF"/>
              <w:right w:val="nil"/>
            </w:tcBorders>
            <w:shd w:val="clear" w:color="auto" w:fill="auto"/>
            <w:noWrap/>
            <w:vAlign w:val="bottom"/>
            <w:hideMark/>
          </w:tcPr>
          <w:p w14:paraId="79D92900" w14:textId="77777777" w:rsidR="004C78C0" w:rsidRPr="008D777B" w:rsidRDefault="004C78C0" w:rsidP="00654255">
            <w:pPr>
              <w:jc w:val="right"/>
              <w:rPr>
                <w:rFonts w:cstheme="minorHAnsi"/>
                <w:color w:val="000000"/>
                <w:sz w:val="16"/>
                <w:szCs w:val="16"/>
              </w:rPr>
            </w:pPr>
            <w:r w:rsidRPr="008D777B">
              <w:rPr>
                <w:color w:val="000000"/>
                <w:sz w:val="16"/>
              </w:rPr>
              <w:t>-1,5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B06E761" w14:textId="77777777" w:rsidR="004C78C0" w:rsidRPr="008D777B" w:rsidRDefault="004C78C0" w:rsidP="00654255">
            <w:pPr>
              <w:jc w:val="right"/>
              <w:rPr>
                <w:rFonts w:cstheme="minorHAnsi"/>
                <w:color w:val="000000"/>
                <w:sz w:val="16"/>
                <w:szCs w:val="16"/>
              </w:rPr>
            </w:pPr>
            <w:r w:rsidRPr="008D777B">
              <w:rPr>
                <w:color w:val="000000"/>
                <w:sz w:val="16"/>
              </w:rPr>
              <w:t>6.565,9</w:t>
            </w:r>
          </w:p>
        </w:tc>
      </w:tr>
      <w:tr w:rsidR="004C78C0" w:rsidRPr="008D777B" w14:paraId="53CC44F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93BE588" w14:textId="77777777" w:rsidR="004C78C0" w:rsidRPr="008D777B" w:rsidRDefault="004C78C0" w:rsidP="00654255">
            <w:pPr>
              <w:rPr>
                <w:rFonts w:cstheme="minorHAnsi"/>
                <w:color w:val="000000"/>
                <w:sz w:val="16"/>
                <w:szCs w:val="16"/>
              </w:rPr>
            </w:pPr>
            <w:r w:rsidRPr="008D777B">
              <w:rPr>
                <w:color w:val="000000"/>
                <w:sz w:val="16"/>
              </w:rPr>
              <w:t>Maroc</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9E16BA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7EB7F98" w14:textId="77777777" w:rsidR="004C78C0" w:rsidRPr="008D777B" w:rsidRDefault="004C78C0" w:rsidP="00654255">
            <w:pPr>
              <w:jc w:val="right"/>
              <w:rPr>
                <w:rFonts w:cstheme="minorHAnsi"/>
                <w:color w:val="000000"/>
                <w:sz w:val="16"/>
                <w:szCs w:val="16"/>
              </w:rPr>
            </w:pPr>
            <w:r w:rsidRPr="008D777B">
              <w:rPr>
                <w:color w:val="000000"/>
                <w:sz w:val="16"/>
              </w:rPr>
              <w:t>399,6</w:t>
            </w:r>
          </w:p>
        </w:tc>
        <w:tc>
          <w:tcPr>
            <w:tcW w:w="990" w:type="dxa"/>
            <w:tcBorders>
              <w:top w:val="nil"/>
              <w:left w:val="nil"/>
              <w:bottom w:val="single" w:sz="4" w:space="0" w:color="FFFFFF"/>
              <w:right w:val="single" w:sz="4" w:space="0" w:color="FFFFFF"/>
            </w:tcBorders>
            <w:shd w:val="clear" w:color="auto" w:fill="auto"/>
            <w:vAlign w:val="bottom"/>
            <w:hideMark/>
          </w:tcPr>
          <w:p w14:paraId="008ABE5E" w14:textId="77777777" w:rsidR="004C78C0" w:rsidRPr="008D777B" w:rsidRDefault="004C78C0" w:rsidP="00654255">
            <w:pPr>
              <w:jc w:val="right"/>
              <w:rPr>
                <w:rFonts w:cstheme="minorHAnsi"/>
                <w:color w:val="000000"/>
                <w:sz w:val="16"/>
                <w:szCs w:val="16"/>
              </w:rPr>
            </w:pPr>
            <w:r w:rsidRPr="008D777B">
              <w:rPr>
                <w:color w:val="000000"/>
                <w:sz w:val="16"/>
              </w:rPr>
              <w:t>366,2</w:t>
            </w:r>
          </w:p>
        </w:tc>
        <w:tc>
          <w:tcPr>
            <w:tcW w:w="673" w:type="dxa"/>
            <w:tcBorders>
              <w:top w:val="nil"/>
              <w:left w:val="nil"/>
              <w:bottom w:val="single" w:sz="4" w:space="0" w:color="FFFFFF"/>
              <w:right w:val="single" w:sz="4" w:space="0" w:color="auto"/>
            </w:tcBorders>
            <w:shd w:val="clear" w:color="auto" w:fill="auto"/>
            <w:noWrap/>
            <w:vAlign w:val="bottom"/>
            <w:hideMark/>
          </w:tcPr>
          <w:p w14:paraId="65B5CEF3" w14:textId="77777777" w:rsidR="004C78C0" w:rsidRPr="008D777B" w:rsidRDefault="004C78C0" w:rsidP="00654255">
            <w:pPr>
              <w:jc w:val="right"/>
              <w:rPr>
                <w:rFonts w:cstheme="minorHAnsi"/>
                <w:color w:val="000000"/>
                <w:sz w:val="16"/>
                <w:szCs w:val="16"/>
              </w:rPr>
            </w:pPr>
            <w:r w:rsidRPr="008D777B">
              <w:rPr>
                <w:color w:val="000000"/>
                <w:sz w:val="16"/>
              </w:rPr>
              <w:t>-8,4</w:t>
            </w:r>
          </w:p>
        </w:tc>
        <w:tc>
          <w:tcPr>
            <w:tcW w:w="829" w:type="dxa"/>
            <w:tcBorders>
              <w:top w:val="nil"/>
              <w:left w:val="nil"/>
              <w:bottom w:val="single" w:sz="4" w:space="0" w:color="FFFFFF"/>
              <w:right w:val="single" w:sz="4" w:space="0" w:color="FFFFFF"/>
            </w:tcBorders>
            <w:shd w:val="clear" w:color="auto" w:fill="auto"/>
            <w:noWrap/>
            <w:vAlign w:val="bottom"/>
            <w:hideMark/>
          </w:tcPr>
          <w:p w14:paraId="0AD11FF7"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13C403F3" w14:textId="77777777" w:rsidR="004C78C0" w:rsidRPr="008D777B" w:rsidRDefault="004C78C0" w:rsidP="00654255">
            <w:pPr>
              <w:jc w:val="right"/>
              <w:rPr>
                <w:rFonts w:cstheme="minorHAnsi"/>
                <w:color w:val="000000"/>
                <w:sz w:val="16"/>
                <w:szCs w:val="16"/>
              </w:rPr>
            </w:pPr>
            <w:r w:rsidRPr="008D777B">
              <w:rPr>
                <w:color w:val="000000"/>
                <w:sz w:val="16"/>
              </w:rPr>
              <w:t>832,4</w:t>
            </w:r>
          </w:p>
        </w:tc>
        <w:tc>
          <w:tcPr>
            <w:tcW w:w="854" w:type="dxa"/>
            <w:tcBorders>
              <w:top w:val="nil"/>
              <w:left w:val="nil"/>
              <w:bottom w:val="single" w:sz="4" w:space="0" w:color="FFFFFF"/>
              <w:right w:val="single" w:sz="4" w:space="0" w:color="FFFFFF"/>
            </w:tcBorders>
            <w:shd w:val="clear" w:color="auto" w:fill="auto"/>
            <w:noWrap/>
            <w:vAlign w:val="bottom"/>
            <w:hideMark/>
          </w:tcPr>
          <w:p w14:paraId="61D8441D" w14:textId="77777777" w:rsidR="004C78C0" w:rsidRPr="008D777B" w:rsidRDefault="004C78C0" w:rsidP="00654255">
            <w:pPr>
              <w:jc w:val="right"/>
              <w:rPr>
                <w:rFonts w:cstheme="minorHAnsi"/>
                <w:color w:val="000000"/>
                <w:sz w:val="16"/>
                <w:szCs w:val="16"/>
              </w:rPr>
            </w:pPr>
            <w:r w:rsidRPr="008D777B">
              <w:rPr>
                <w:color w:val="000000"/>
                <w:sz w:val="16"/>
              </w:rPr>
              <w:t>1.299,1</w:t>
            </w:r>
          </w:p>
        </w:tc>
        <w:tc>
          <w:tcPr>
            <w:tcW w:w="673" w:type="dxa"/>
            <w:tcBorders>
              <w:top w:val="nil"/>
              <w:left w:val="nil"/>
              <w:bottom w:val="single" w:sz="4" w:space="0" w:color="FFFFFF"/>
              <w:right w:val="nil"/>
            </w:tcBorders>
            <w:shd w:val="clear" w:color="auto" w:fill="auto"/>
            <w:noWrap/>
            <w:vAlign w:val="bottom"/>
            <w:hideMark/>
          </w:tcPr>
          <w:p w14:paraId="40B9E746" w14:textId="77777777" w:rsidR="004C78C0" w:rsidRPr="008D777B" w:rsidRDefault="004C78C0" w:rsidP="00654255">
            <w:pPr>
              <w:jc w:val="right"/>
              <w:rPr>
                <w:rFonts w:cstheme="minorHAnsi"/>
                <w:color w:val="000000"/>
                <w:sz w:val="16"/>
                <w:szCs w:val="16"/>
              </w:rPr>
            </w:pPr>
            <w:r w:rsidRPr="008D777B">
              <w:rPr>
                <w:color w:val="000000"/>
                <w:sz w:val="16"/>
              </w:rPr>
              <w:t>56,1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6EA40FF" w14:textId="77777777" w:rsidR="004C78C0" w:rsidRPr="008D777B" w:rsidRDefault="004C78C0" w:rsidP="00654255">
            <w:pPr>
              <w:jc w:val="right"/>
              <w:rPr>
                <w:rFonts w:cstheme="minorHAnsi"/>
                <w:color w:val="000000"/>
                <w:sz w:val="16"/>
                <w:szCs w:val="16"/>
              </w:rPr>
            </w:pPr>
            <w:r w:rsidRPr="008D777B">
              <w:rPr>
                <w:color w:val="000000"/>
                <w:sz w:val="16"/>
              </w:rPr>
              <w:t>354,8</w:t>
            </w:r>
          </w:p>
        </w:tc>
      </w:tr>
      <w:tr w:rsidR="004C78C0" w:rsidRPr="008D777B" w14:paraId="347E782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E7D7DE8" w14:textId="77777777" w:rsidR="004C78C0" w:rsidRPr="008D777B" w:rsidRDefault="004C78C0" w:rsidP="00654255">
            <w:pPr>
              <w:rPr>
                <w:rFonts w:cstheme="minorHAnsi"/>
                <w:color w:val="000000"/>
                <w:sz w:val="16"/>
                <w:szCs w:val="16"/>
              </w:rPr>
            </w:pPr>
            <w:r w:rsidRPr="008D777B">
              <w:rPr>
                <w:color w:val="000000"/>
                <w:sz w:val="16"/>
              </w:rPr>
              <w:t>Japon</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F541B81"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28AFDEC2" w14:textId="77777777" w:rsidR="004C78C0" w:rsidRPr="008D777B" w:rsidRDefault="004C78C0" w:rsidP="00654255">
            <w:pPr>
              <w:jc w:val="right"/>
              <w:rPr>
                <w:rFonts w:cstheme="minorHAnsi"/>
                <w:color w:val="000000"/>
                <w:sz w:val="16"/>
                <w:szCs w:val="16"/>
              </w:rPr>
            </w:pPr>
            <w:r w:rsidRPr="008D777B">
              <w:rPr>
                <w:color w:val="000000"/>
                <w:sz w:val="16"/>
              </w:rPr>
              <w:t>2.411,4</w:t>
            </w:r>
          </w:p>
        </w:tc>
        <w:tc>
          <w:tcPr>
            <w:tcW w:w="990" w:type="dxa"/>
            <w:tcBorders>
              <w:top w:val="nil"/>
              <w:left w:val="nil"/>
              <w:bottom w:val="single" w:sz="4" w:space="0" w:color="FFFFFF"/>
              <w:right w:val="single" w:sz="4" w:space="0" w:color="FFFFFF"/>
            </w:tcBorders>
            <w:shd w:val="clear" w:color="auto" w:fill="auto"/>
            <w:vAlign w:val="bottom"/>
            <w:hideMark/>
          </w:tcPr>
          <w:p w14:paraId="7E018978" w14:textId="77777777" w:rsidR="004C78C0" w:rsidRPr="008D777B" w:rsidRDefault="004C78C0" w:rsidP="00654255">
            <w:pPr>
              <w:jc w:val="right"/>
              <w:rPr>
                <w:rFonts w:cstheme="minorHAnsi"/>
                <w:color w:val="000000"/>
                <w:sz w:val="16"/>
                <w:szCs w:val="16"/>
              </w:rPr>
            </w:pPr>
            <w:r w:rsidRPr="008D777B">
              <w:rPr>
                <w:color w:val="000000"/>
                <w:sz w:val="16"/>
              </w:rPr>
              <w:t>918,7</w:t>
            </w:r>
          </w:p>
        </w:tc>
        <w:tc>
          <w:tcPr>
            <w:tcW w:w="673" w:type="dxa"/>
            <w:tcBorders>
              <w:top w:val="nil"/>
              <w:left w:val="nil"/>
              <w:bottom w:val="single" w:sz="4" w:space="0" w:color="FFFFFF"/>
              <w:right w:val="single" w:sz="4" w:space="0" w:color="auto"/>
            </w:tcBorders>
            <w:shd w:val="clear" w:color="auto" w:fill="auto"/>
            <w:noWrap/>
            <w:vAlign w:val="bottom"/>
            <w:hideMark/>
          </w:tcPr>
          <w:p w14:paraId="1C03CE5C" w14:textId="77777777" w:rsidR="004C78C0" w:rsidRPr="008D777B" w:rsidRDefault="004C78C0" w:rsidP="00654255">
            <w:pPr>
              <w:jc w:val="right"/>
              <w:rPr>
                <w:rFonts w:cstheme="minorHAnsi"/>
                <w:color w:val="000000"/>
                <w:sz w:val="16"/>
                <w:szCs w:val="16"/>
              </w:rPr>
            </w:pPr>
            <w:r w:rsidRPr="008D777B">
              <w:rPr>
                <w:color w:val="000000"/>
                <w:sz w:val="16"/>
              </w:rPr>
              <w:t>-61,9</w:t>
            </w:r>
          </w:p>
        </w:tc>
        <w:tc>
          <w:tcPr>
            <w:tcW w:w="829" w:type="dxa"/>
            <w:tcBorders>
              <w:top w:val="nil"/>
              <w:left w:val="nil"/>
              <w:bottom w:val="single" w:sz="4" w:space="0" w:color="FFFFFF"/>
              <w:right w:val="single" w:sz="4" w:space="0" w:color="FFFFFF"/>
            </w:tcBorders>
            <w:shd w:val="clear" w:color="auto" w:fill="auto"/>
            <w:noWrap/>
            <w:vAlign w:val="bottom"/>
            <w:hideMark/>
          </w:tcPr>
          <w:p w14:paraId="59106C5F"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661A6741" w14:textId="77777777" w:rsidR="004C78C0" w:rsidRPr="008D777B" w:rsidRDefault="004C78C0" w:rsidP="00654255">
            <w:pPr>
              <w:jc w:val="right"/>
              <w:rPr>
                <w:rFonts w:cstheme="minorHAnsi"/>
                <w:color w:val="000000"/>
                <w:sz w:val="16"/>
                <w:szCs w:val="16"/>
              </w:rPr>
            </w:pPr>
            <w:r w:rsidRPr="008D777B">
              <w:rPr>
                <w:color w:val="000000"/>
                <w:sz w:val="16"/>
              </w:rPr>
              <w:t>914,7</w:t>
            </w:r>
          </w:p>
        </w:tc>
        <w:tc>
          <w:tcPr>
            <w:tcW w:w="854" w:type="dxa"/>
            <w:tcBorders>
              <w:top w:val="nil"/>
              <w:left w:val="nil"/>
              <w:bottom w:val="single" w:sz="4" w:space="0" w:color="FFFFFF"/>
              <w:right w:val="single" w:sz="4" w:space="0" w:color="FFFFFF"/>
            </w:tcBorders>
            <w:shd w:val="clear" w:color="auto" w:fill="auto"/>
            <w:noWrap/>
            <w:vAlign w:val="bottom"/>
            <w:hideMark/>
          </w:tcPr>
          <w:p w14:paraId="1DF8144A" w14:textId="77777777" w:rsidR="004C78C0" w:rsidRPr="008D777B" w:rsidRDefault="004C78C0" w:rsidP="00654255">
            <w:pPr>
              <w:jc w:val="right"/>
              <w:rPr>
                <w:rFonts w:cstheme="minorHAnsi"/>
                <w:color w:val="000000"/>
                <w:sz w:val="16"/>
                <w:szCs w:val="16"/>
              </w:rPr>
            </w:pPr>
            <w:r w:rsidRPr="008D777B">
              <w:rPr>
                <w:color w:val="000000"/>
                <w:sz w:val="16"/>
              </w:rPr>
              <w:t>1.124,9</w:t>
            </w:r>
          </w:p>
        </w:tc>
        <w:tc>
          <w:tcPr>
            <w:tcW w:w="673" w:type="dxa"/>
            <w:tcBorders>
              <w:top w:val="nil"/>
              <w:left w:val="nil"/>
              <w:bottom w:val="single" w:sz="4" w:space="0" w:color="FFFFFF"/>
              <w:right w:val="nil"/>
            </w:tcBorders>
            <w:shd w:val="clear" w:color="auto" w:fill="auto"/>
            <w:noWrap/>
            <w:vAlign w:val="bottom"/>
            <w:hideMark/>
          </w:tcPr>
          <w:p w14:paraId="512F0F08" w14:textId="77777777" w:rsidR="004C78C0" w:rsidRPr="008D777B" w:rsidRDefault="004C78C0" w:rsidP="00654255">
            <w:pPr>
              <w:jc w:val="right"/>
              <w:rPr>
                <w:rFonts w:cstheme="minorHAnsi"/>
                <w:color w:val="000000"/>
                <w:sz w:val="16"/>
                <w:szCs w:val="16"/>
              </w:rPr>
            </w:pPr>
            <w:r w:rsidRPr="008D777B">
              <w:rPr>
                <w:color w:val="000000"/>
                <w:sz w:val="16"/>
              </w:rPr>
              <w:t>23,0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5608FEF" w14:textId="77777777" w:rsidR="004C78C0" w:rsidRPr="008D777B" w:rsidRDefault="004C78C0" w:rsidP="00654255">
            <w:pPr>
              <w:jc w:val="right"/>
              <w:rPr>
                <w:rFonts w:cstheme="minorHAnsi"/>
                <w:color w:val="000000"/>
                <w:sz w:val="16"/>
                <w:szCs w:val="16"/>
              </w:rPr>
            </w:pPr>
            <w:r w:rsidRPr="008D777B">
              <w:rPr>
                <w:color w:val="000000"/>
                <w:sz w:val="16"/>
              </w:rPr>
              <w:t>122,4</w:t>
            </w:r>
          </w:p>
        </w:tc>
      </w:tr>
      <w:tr w:rsidR="004C78C0" w:rsidRPr="008D777B" w14:paraId="78A3399D"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2D33538" w14:textId="77777777" w:rsidR="004C78C0" w:rsidRPr="008D777B" w:rsidRDefault="004C78C0" w:rsidP="00654255">
            <w:pPr>
              <w:rPr>
                <w:rFonts w:cstheme="minorHAnsi"/>
                <w:color w:val="000000"/>
                <w:sz w:val="16"/>
                <w:szCs w:val="16"/>
              </w:rPr>
            </w:pPr>
            <w:r w:rsidRPr="008D777B">
              <w:rPr>
                <w:color w:val="000000"/>
                <w:sz w:val="16"/>
              </w:rPr>
              <w:t>Cameroun</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BAD9E2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E982A56" w14:textId="77777777" w:rsidR="004C78C0" w:rsidRPr="008D777B" w:rsidRDefault="004C78C0" w:rsidP="00654255">
            <w:pPr>
              <w:jc w:val="right"/>
              <w:rPr>
                <w:rFonts w:cstheme="minorHAnsi"/>
                <w:color w:val="000000"/>
                <w:sz w:val="16"/>
                <w:szCs w:val="16"/>
              </w:rPr>
            </w:pPr>
            <w:r w:rsidRPr="008D777B">
              <w:rPr>
                <w:color w:val="000000"/>
                <w:sz w:val="16"/>
              </w:rPr>
              <w:t>11,1</w:t>
            </w:r>
          </w:p>
        </w:tc>
        <w:tc>
          <w:tcPr>
            <w:tcW w:w="990" w:type="dxa"/>
            <w:tcBorders>
              <w:top w:val="nil"/>
              <w:left w:val="nil"/>
              <w:bottom w:val="single" w:sz="4" w:space="0" w:color="FFFFFF"/>
              <w:right w:val="single" w:sz="4" w:space="0" w:color="FFFFFF"/>
            </w:tcBorders>
            <w:shd w:val="clear" w:color="auto" w:fill="auto"/>
            <w:vAlign w:val="bottom"/>
            <w:hideMark/>
          </w:tcPr>
          <w:p w14:paraId="6E9CF09E" w14:textId="77777777" w:rsidR="004C78C0" w:rsidRPr="008D777B" w:rsidRDefault="004C78C0" w:rsidP="00654255">
            <w:pPr>
              <w:jc w:val="right"/>
              <w:rPr>
                <w:rFonts w:cstheme="minorHAnsi"/>
                <w:color w:val="000000"/>
                <w:sz w:val="16"/>
                <w:szCs w:val="16"/>
              </w:rPr>
            </w:pPr>
            <w:r w:rsidRPr="008D777B">
              <w:rPr>
                <w:color w:val="000000"/>
                <w:sz w:val="16"/>
              </w:rPr>
              <w:t>31,5</w:t>
            </w:r>
          </w:p>
        </w:tc>
        <w:tc>
          <w:tcPr>
            <w:tcW w:w="673" w:type="dxa"/>
            <w:tcBorders>
              <w:top w:val="nil"/>
              <w:left w:val="nil"/>
              <w:bottom w:val="single" w:sz="4" w:space="0" w:color="FFFFFF"/>
              <w:right w:val="single" w:sz="4" w:space="0" w:color="auto"/>
            </w:tcBorders>
            <w:shd w:val="clear" w:color="auto" w:fill="auto"/>
            <w:noWrap/>
            <w:vAlign w:val="bottom"/>
            <w:hideMark/>
          </w:tcPr>
          <w:p w14:paraId="15C7D343" w14:textId="77777777" w:rsidR="004C78C0" w:rsidRPr="008D777B" w:rsidRDefault="004C78C0" w:rsidP="00654255">
            <w:pPr>
              <w:jc w:val="right"/>
              <w:rPr>
                <w:rFonts w:cstheme="minorHAnsi"/>
                <w:color w:val="000000"/>
                <w:sz w:val="16"/>
                <w:szCs w:val="16"/>
              </w:rPr>
            </w:pPr>
            <w:r w:rsidRPr="008D777B">
              <w:rPr>
                <w:color w:val="000000"/>
                <w:sz w:val="16"/>
              </w:rPr>
              <w:t>183,1</w:t>
            </w:r>
          </w:p>
        </w:tc>
        <w:tc>
          <w:tcPr>
            <w:tcW w:w="829" w:type="dxa"/>
            <w:tcBorders>
              <w:top w:val="nil"/>
              <w:left w:val="nil"/>
              <w:bottom w:val="single" w:sz="4" w:space="0" w:color="FFFFFF"/>
              <w:right w:val="single" w:sz="4" w:space="0" w:color="FFFFFF"/>
            </w:tcBorders>
            <w:shd w:val="clear" w:color="auto" w:fill="auto"/>
            <w:noWrap/>
            <w:vAlign w:val="bottom"/>
            <w:hideMark/>
          </w:tcPr>
          <w:p w14:paraId="2E00808A"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645007BF" w14:textId="77777777" w:rsidR="004C78C0" w:rsidRPr="008D777B" w:rsidRDefault="004C78C0" w:rsidP="00654255">
            <w:pPr>
              <w:jc w:val="right"/>
              <w:rPr>
                <w:rFonts w:cstheme="minorHAnsi"/>
                <w:color w:val="000000"/>
                <w:sz w:val="16"/>
                <w:szCs w:val="16"/>
              </w:rPr>
            </w:pPr>
            <w:r w:rsidRPr="008D777B">
              <w:rPr>
                <w:color w:val="000000"/>
                <w:sz w:val="16"/>
              </w:rPr>
              <w:t>875,0</w:t>
            </w:r>
          </w:p>
        </w:tc>
        <w:tc>
          <w:tcPr>
            <w:tcW w:w="854" w:type="dxa"/>
            <w:tcBorders>
              <w:top w:val="nil"/>
              <w:left w:val="nil"/>
              <w:bottom w:val="single" w:sz="4" w:space="0" w:color="FFFFFF"/>
              <w:right w:val="single" w:sz="4" w:space="0" w:color="FFFFFF"/>
            </w:tcBorders>
            <w:shd w:val="clear" w:color="auto" w:fill="auto"/>
            <w:noWrap/>
            <w:vAlign w:val="bottom"/>
            <w:hideMark/>
          </w:tcPr>
          <w:p w14:paraId="6D460D84" w14:textId="77777777" w:rsidR="004C78C0" w:rsidRPr="008D777B" w:rsidRDefault="004C78C0" w:rsidP="00654255">
            <w:pPr>
              <w:jc w:val="right"/>
              <w:rPr>
                <w:rFonts w:cstheme="minorHAnsi"/>
                <w:color w:val="000000"/>
                <w:sz w:val="16"/>
                <w:szCs w:val="16"/>
              </w:rPr>
            </w:pPr>
            <w:r w:rsidRPr="008D777B">
              <w:rPr>
                <w:color w:val="000000"/>
                <w:sz w:val="16"/>
              </w:rPr>
              <w:t>1.071,7</w:t>
            </w:r>
          </w:p>
        </w:tc>
        <w:tc>
          <w:tcPr>
            <w:tcW w:w="673" w:type="dxa"/>
            <w:tcBorders>
              <w:top w:val="nil"/>
              <w:left w:val="nil"/>
              <w:bottom w:val="single" w:sz="4" w:space="0" w:color="FFFFFF"/>
              <w:right w:val="nil"/>
            </w:tcBorders>
            <w:shd w:val="clear" w:color="auto" w:fill="auto"/>
            <w:noWrap/>
            <w:vAlign w:val="bottom"/>
            <w:hideMark/>
          </w:tcPr>
          <w:p w14:paraId="338166B5" w14:textId="77777777" w:rsidR="004C78C0" w:rsidRPr="008D777B" w:rsidRDefault="004C78C0" w:rsidP="00654255">
            <w:pPr>
              <w:jc w:val="right"/>
              <w:rPr>
                <w:rFonts w:cstheme="minorHAnsi"/>
                <w:color w:val="000000"/>
                <w:sz w:val="16"/>
                <w:szCs w:val="16"/>
              </w:rPr>
            </w:pPr>
            <w:r w:rsidRPr="008D777B">
              <w:rPr>
                <w:color w:val="000000"/>
                <w:sz w:val="16"/>
              </w:rPr>
              <w:t>22,5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64DFB02" w14:textId="77777777" w:rsidR="004C78C0" w:rsidRPr="008D777B" w:rsidRDefault="004C78C0" w:rsidP="00654255">
            <w:pPr>
              <w:jc w:val="right"/>
              <w:rPr>
                <w:rFonts w:cstheme="minorHAnsi"/>
                <w:color w:val="000000"/>
                <w:sz w:val="16"/>
                <w:szCs w:val="16"/>
              </w:rPr>
            </w:pPr>
            <w:r w:rsidRPr="008D777B">
              <w:rPr>
                <w:color w:val="000000"/>
                <w:sz w:val="16"/>
              </w:rPr>
              <w:t>3.398,3</w:t>
            </w:r>
          </w:p>
        </w:tc>
      </w:tr>
      <w:tr w:rsidR="004C78C0" w:rsidRPr="008D777B" w14:paraId="7990CCCF"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8E63D97" w14:textId="77777777" w:rsidR="004C78C0" w:rsidRPr="008D777B" w:rsidRDefault="004C78C0" w:rsidP="00654255">
            <w:pPr>
              <w:rPr>
                <w:rFonts w:cstheme="minorHAnsi"/>
                <w:color w:val="000000"/>
                <w:sz w:val="16"/>
                <w:szCs w:val="16"/>
              </w:rPr>
            </w:pPr>
            <w:r w:rsidRPr="008D777B">
              <w:rPr>
                <w:color w:val="000000"/>
                <w:sz w:val="16"/>
              </w:rPr>
              <w:t>Corée du Sud</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3D57F9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08C33AC" w14:textId="77777777" w:rsidR="004C78C0" w:rsidRPr="008D777B" w:rsidRDefault="004C78C0" w:rsidP="00654255">
            <w:pPr>
              <w:jc w:val="right"/>
              <w:rPr>
                <w:rFonts w:cstheme="minorHAnsi"/>
                <w:color w:val="000000"/>
                <w:sz w:val="16"/>
                <w:szCs w:val="16"/>
              </w:rPr>
            </w:pPr>
            <w:r w:rsidRPr="008D777B">
              <w:rPr>
                <w:color w:val="000000"/>
                <w:sz w:val="16"/>
              </w:rPr>
              <w:t>187,3</w:t>
            </w:r>
          </w:p>
        </w:tc>
        <w:tc>
          <w:tcPr>
            <w:tcW w:w="990" w:type="dxa"/>
            <w:tcBorders>
              <w:top w:val="nil"/>
              <w:left w:val="nil"/>
              <w:bottom w:val="single" w:sz="4" w:space="0" w:color="FFFFFF"/>
              <w:right w:val="single" w:sz="4" w:space="0" w:color="FFFFFF"/>
            </w:tcBorders>
            <w:shd w:val="clear" w:color="auto" w:fill="auto"/>
            <w:vAlign w:val="bottom"/>
            <w:hideMark/>
          </w:tcPr>
          <w:p w14:paraId="2DA71E55" w14:textId="77777777" w:rsidR="004C78C0" w:rsidRPr="008D777B" w:rsidRDefault="004C78C0" w:rsidP="00654255">
            <w:pPr>
              <w:jc w:val="right"/>
              <w:rPr>
                <w:rFonts w:cstheme="minorHAnsi"/>
                <w:color w:val="000000"/>
                <w:sz w:val="16"/>
                <w:szCs w:val="16"/>
              </w:rPr>
            </w:pPr>
            <w:r w:rsidRPr="008D777B">
              <w:rPr>
                <w:color w:val="000000"/>
                <w:sz w:val="16"/>
              </w:rPr>
              <w:t>102,4</w:t>
            </w:r>
          </w:p>
        </w:tc>
        <w:tc>
          <w:tcPr>
            <w:tcW w:w="673" w:type="dxa"/>
            <w:tcBorders>
              <w:top w:val="nil"/>
              <w:left w:val="nil"/>
              <w:bottom w:val="single" w:sz="4" w:space="0" w:color="FFFFFF"/>
              <w:right w:val="single" w:sz="4" w:space="0" w:color="auto"/>
            </w:tcBorders>
            <w:shd w:val="clear" w:color="auto" w:fill="auto"/>
            <w:noWrap/>
            <w:vAlign w:val="bottom"/>
            <w:hideMark/>
          </w:tcPr>
          <w:p w14:paraId="7F437C57" w14:textId="77777777" w:rsidR="004C78C0" w:rsidRPr="008D777B" w:rsidRDefault="004C78C0" w:rsidP="00654255">
            <w:pPr>
              <w:jc w:val="right"/>
              <w:rPr>
                <w:rFonts w:cstheme="minorHAnsi"/>
                <w:color w:val="000000"/>
                <w:sz w:val="16"/>
                <w:szCs w:val="16"/>
              </w:rPr>
            </w:pPr>
            <w:r w:rsidRPr="008D777B">
              <w:rPr>
                <w:color w:val="000000"/>
                <w:sz w:val="16"/>
              </w:rPr>
              <w:t>-45,3</w:t>
            </w:r>
          </w:p>
        </w:tc>
        <w:tc>
          <w:tcPr>
            <w:tcW w:w="829" w:type="dxa"/>
            <w:tcBorders>
              <w:top w:val="nil"/>
              <w:left w:val="nil"/>
              <w:bottom w:val="single" w:sz="4" w:space="0" w:color="FFFFFF"/>
              <w:right w:val="single" w:sz="4" w:space="0" w:color="FFFFFF"/>
            </w:tcBorders>
            <w:shd w:val="clear" w:color="auto" w:fill="auto"/>
            <w:noWrap/>
            <w:vAlign w:val="bottom"/>
            <w:hideMark/>
          </w:tcPr>
          <w:p w14:paraId="5B061129"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12CD3FF8" w14:textId="77777777" w:rsidR="004C78C0" w:rsidRPr="008D777B" w:rsidRDefault="004C78C0" w:rsidP="00654255">
            <w:pPr>
              <w:jc w:val="right"/>
              <w:rPr>
                <w:rFonts w:cstheme="minorHAnsi"/>
                <w:color w:val="000000"/>
                <w:sz w:val="16"/>
                <w:szCs w:val="16"/>
              </w:rPr>
            </w:pPr>
            <w:r w:rsidRPr="008D777B">
              <w:rPr>
                <w:color w:val="000000"/>
                <w:sz w:val="16"/>
              </w:rPr>
              <w:t>1.226,2</w:t>
            </w:r>
          </w:p>
        </w:tc>
        <w:tc>
          <w:tcPr>
            <w:tcW w:w="854" w:type="dxa"/>
            <w:tcBorders>
              <w:top w:val="nil"/>
              <w:left w:val="nil"/>
              <w:bottom w:val="single" w:sz="4" w:space="0" w:color="FFFFFF"/>
              <w:right w:val="single" w:sz="4" w:space="0" w:color="FFFFFF"/>
            </w:tcBorders>
            <w:shd w:val="clear" w:color="auto" w:fill="auto"/>
            <w:noWrap/>
            <w:vAlign w:val="bottom"/>
            <w:hideMark/>
          </w:tcPr>
          <w:p w14:paraId="671BBA0C" w14:textId="77777777" w:rsidR="004C78C0" w:rsidRPr="008D777B" w:rsidRDefault="004C78C0" w:rsidP="00654255">
            <w:pPr>
              <w:jc w:val="right"/>
              <w:rPr>
                <w:rFonts w:cstheme="minorHAnsi"/>
                <w:color w:val="000000"/>
                <w:sz w:val="16"/>
                <w:szCs w:val="16"/>
              </w:rPr>
            </w:pPr>
            <w:r w:rsidRPr="008D777B">
              <w:rPr>
                <w:color w:val="000000"/>
                <w:sz w:val="16"/>
              </w:rPr>
              <w:t>943,0</w:t>
            </w:r>
          </w:p>
        </w:tc>
        <w:tc>
          <w:tcPr>
            <w:tcW w:w="673" w:type="dxa"/>
            <w:tcBorders>
              <w:top w:val="nil"/>
              <w:left w:val="nil"/>
              <w:bottom w:val="single" w:sz="4" w:space="0" w:color="FFFFFF"/>
              <w:right w:val="nil"/>
            </w:tcBorders>
            <w:shd w:val="clear" w:color="auto" w:fill="auto"/>
            <w:noWrap/>
            <w:vAlign w:val="bottom"/>
            <w:hideMark/>
          </w:tcPr>
          <w:p w14:paraId="2DBD5DF7" w14:textId="77777777" w:rsidR="004C78C0" w:rsidRPr="008D777B" w:rsidRDefault="004C78C0" w:rsidP="00654255">
            <w:pPr>
              <w:jc w:val="right"/>
              <w:rPr>
                <w:rFonts w:cstheme="minorHAnsi"/>
                <w:color w:val="000000"/>
                <w:sz w:val="16"/>
                <w:szCs w:val="16"/>
              </w:rPr>
            </w:pPr>
            <w:r w:rsidRPr="008D777B">
              <w:rPr>
                <w:color w:val="000000"/>
                <w:sz w:val="16"/>
              </w:rPr>
              <w:t>-23,1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4CA8D05" w14:textId="77777777" w:rsidR="004C78C0" w:rsidRPr="008D777B" w:rsidRDefault="004C78C0" w:rsidP="00654255">
            <w:pPr>
              <w:jc w:val="right"/>
              <w:rPr>
                <w:rFonts w:cstheme="minorHAnsi"/>
                <w:color w:val="000000"/>
                <w:sz w:val="16"/>
                <w:szCs w:val="16"/>
              </w:rPr>
            </w:pPr>
            <w:r w:rsidRPr="008D777B">
              <w:rPr>
                <w:color w:val="000000"/>
                <w:sz w:val="16"/>
              </w:rPr>
              <w:t>920,6</w:t>
            </w:r>
          </w:p>
        </w:tc>
      </w:tr>
      <w:tr w:rsidR="004C78C0" w:rsidRPr="008D777B" w14:paraId="612EF6E2"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30E12CA" w14:textId="77777777" w:rsidR="004C78C0" w:rsidRPr="008D777B" w:rsidRDefault="004C78C0" w:rsidP="00654255">
            <w:pPr>
              <w:rPr>
                <w:rFonts w:cstheme="minorHAnsi"/>
                <w:color w:val="000000"/>
                <w:sz w:val="16"/>
                <w:szCs w:val="16"/>
              </w:rPr>
            </w:pPr>
            <w:r w:rsidRPr="008D777B">
              <w:rPr>
                <w:color w:val="000000"/>
                <w:sz w:val="16"/>
              </w:rPr>
              <w:t>Norvège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DF3B75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9CC2910" w14:textId="77777777" w:rsidR="004C78C0" w:rsidRPr="008D777B" w:rsidRDefault="004C78C0" w:rsidP="00654255">
            <w:pPr>
              <w:jc w:val="right"/>
              <w:rPr>
                <w:rFonts w:cstheme="minorHAnsi"/>
                <w:color w:val="000000"/>
                <w:sz w:val="16"/>
                <w:szCs w:val="16"/>
              </w:rPr>
            </w:pPr>
            <w:r w:rsidRPr="008D777B">
              <w:rPr>
                <w:color w:val="000000"/>
                <w:sz w:val="16"/>
              </w:rPr>
              <w:t>64,2</w:t>
            </w:r>
          </w:p>
        </w:tc>
        <w:tc>
          <w:tcPr>
            <w:tcW w:w="990" w:type="dxa"/>
            <w:tcBorders>
              <w:top w:val="nil"/>
              <w:left w:val="nil"/>
              <w:bottom w:val="single" w:sz="4" w:space="0" w:color="FFFFFF"/>
              <w:right w:val="single" w:sz="4" w:space="0" w:color="FFFFFF"/>
            </w:tcBorders>
            <w:shd w:val="clear" w:color="auto" w:fill="auto"/>
            <w:vAlign w:val="bottom"/>
            <w:hideMark/>
          </w:tcPr>
          <w:p w14:paraId="08504313" w14:textId="77777777" w:rsidR="004C78C0" w:rsidRPr="008D777B" w:rsidRDefault="004C78C0" w:rsidP="00654255">
            <w:pPr>
              <w:jc w:val="right"/>
              <w:rPr>
                <w:rFonts w:cstheme="minorHAnsi"/>
                <w:color w:val="000000"/>
                <w:sz w:val="16"/>
                <w:szCs w:val="16"/>
              </w:rPr>
            </w:pPr>
            <w:r w:rsidRPr="008D777B">
              <w:rPr>
                <w:color w:val="000000"/>
                <w:sz w:val="16"/>
              </w:rPr>
              <w:t>25,7</w:t>
            </w:r>
          </w:p>
        </w:tc>
        <w:tc>
          <w:tcPr>
            <w:tcW w:w="673" w:type="dxa"/>
            <w:tcBorders>
              <w:top w:val="nil"/>
              <w:left w:val="nil"/>
              <w:bottom w:val="single" w:sz="4" w:space="0" w:color="FFFFFF"/>
              <w:right w:val="single" w:sz="4" w:space="0" w:color="auto"/>
            </w:tcBorders>
            <w:shd w:val="clear" w:color="auto" w:fill="auto"/>
            <w:noWrap/>
            <w:vAlign w:val="bottom"/>
            <w:hideMark/>
          </w:tcPr>
          <w:p w14:paraId="0A29F7D6" w14:textId="77777777" w:rsidR="004C78C0" w:rsidRPr="008D777B" w:rsidRDefault="004C78C0" w:rsidP="00654255">
            <w:pPr>
              <w:jc w:val="right"/>
              <w:rPr>
                <w:rFonts w:cstheme="minorHAnsi"/>
                <w:color w:val="000000"/>
                <w:sz w:val="16"/>
                <w:szCs w:val="16"/>
              </w:rPr>
            </w:pPr>
            <w:r w:rsidRPr="008D777B">
              <w:rPr>
                <w:color w:val="000000"/>
                <w:sz w:val="16"/>
              </w:rPr>
              <w:t>-59,9</w:t>
            </w:r>
          </w:p>
        </w:tc>
        <w:tc>
          <w:tcPr>
            <w:tcW w:w="829" w:type="dxa"/>
            <w:tcBorders>
              <w:top w:val="nil"/>
              <w:left w:val="nil"/>
              <w:bottom w:val="single" w:sz="4" w:space="0" w:color="FFFFFF"/>
              <w:right w:val="single" w:sz="4" w:space="0" w:color="FFFFFF"/>
            </w:tcBorders>
            <w:shd w:val="clear" w:color="auto" w:fill="auto"/>
            <w:noWrap/>
            <w:vAlign w:val="bottom"/>
            <w:hideMark/>
          </w:tcPr>
          <w:p w14:paraId="07158E9C"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610C9D2F" w14:textId="77777777" w:rsidR="004C78C0" w:rsidRPr="008D777B" w:rsidRDefault="004C78C0" w:rsidP="00654255">
            <w:pPr>
              <w:jc w:val="right"/>
              <w:rPr>
                <w:rFonts w:cstheme="minorHAnsi"/>
                <w:color w:val="000000"/>
                <w:sz w:val="16"/>
                <w:szCs w:val="16"/>
              </w:rPr>
            </w:pPr>
            <w:r w:rsidRPr="008D777B">
              <w:rPr>
                <w:color w:val="000000"/>
                <w:sz w:val="16"/>
              </w:rPr>
              <w:t>1.037,7</w:t>
            </w:r>
          </w:p>
        </w:tc>
        <w:tc>
          <w:tcPr>
            <w:tcW w:w="854" w:type="dxa"/>
            <w:tcBorders>
              <w:top w:val="nil"/>
              <w:left w:val="nil"/>
              <w:bottom w:val="single" w:sz="4" w:space="0" w:color="FFFFFF"/>
              <w:right w:val="single" w:sz="4" w:space="0" w:color="FFFFFF"/>
            </w:tcBorders>
            <w:shd w:val="clear" w:color="auto" w:fill="auto"/>
            <w:noWrap/>
            <w:vAlign w:val="bottom"/>
            <w:hideMark/>
          </w:tcPr>
          <w:p w14:paraId="3BF6FBDA" w14:textId="77777777" w:rsidR="004C78C0" w:rsidRPr="008D777B" w:rsidRDefault="004C78C0" w:rsidP="00654255">
            <w:pPr>
              <w:jc w:val="right"/>
              <w:rPr>
                <w:rFonts w:cstheme="minorHAnsi"/>
                <w:color w:val="000000"/>
                <w:sz w:val="16"/>
                <w:szCs w:val="16"/>
              </w:rPr>
            </w:pPr>
            <w:r w:rsidRPr="008D777B">
              <w:rPr>
                <w:color w:val="000000"/>
                <w:sz w:val="16"/>
              </w:rPr>
              <w:t>869,1</w:t>
            </w:r>
          </w:p>
        </w:tc>
        <w:tc>
          <w:tcPr>
            <w:tcW w:w="673" w:type="dxa"/>
            <w:tcBorders>
              <w:top w:val="nil"/>
              <w:left w:val="nil"/>
              <w:bottom w:val="single" w:sz="4" w:space="0" w:color="FFFFFF"/>
              <w:right w:val="nil"/>
            </w:tcBorders>
            <w:shd w:val="clear" w:color="auto" w:fill="auto"/>
            <w:noWrap/>
            <w:vAlign w:val="bottom"/>
            <w:hideMark/>
          </w:tcPr>
          <w:p w14:paraId="0D28A3A1" w14:textId="77777777" w:rsidR="004C78C0" w:rsidRPr="008D777B" w:rsidRDefault="004C78C0" w:rsidP="00654255">
            <w:pPr>
              <w:jc w:val="right"/>
              <w:rPr>
                <w:rFonts w:cstheme="minorHAnsi"/>
                <w:color w:val="000000"/>
                <w:sz w:val="16"/>
                <w:szCs w:val="16"/>
              </w:rPr>
            </w:pPr>
            <w:r w:rsidRPr="008D777B">
              <w:rPr>
                <w:color w:val="000000"/>
                <w:sz w:val="16"/>
              </w:rPr>
              <w:t>-16,2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B1A0B43" w14:textId="77777777" w:rsidR="004C78C0" w:rsidRPr="008D777B" w:rsidRDefault="004C78C0" w:rsidP="00654255">
            <w:pPr>
              <w:jc w:val="right"/>
              <w:rPr>
                <w:rFonts w:cstheme="minorHAnsi"/>
                <w:color w:val="000000"/>
                <w:sz w:val="16"/>
                <w:szCs w:val="16"/>
              </w:rPr>
            </w:pPr>
            <w:r w:rsidRPr="008D777B">
              <w:rPr>
                <w:color w:val="000000"/>
                <w:sz w:val="16"/>
              </w:rPr>
              <w:t>3.379,5</w:t>
            </w:r>
          </w:p>
        </w:tc>
      </w:tr>
      <w:tr w:rsidR="004C78C0" w:rsidRPr="008D777B" w14:paraId="710C6AF9" w14:textId="77777777" w:rsidTr="00654255">
        <w:tc>
          <w:tcPr>
            <w:tcW w:w="9063" w:type="dxa"/>
            <w:gridSpan w:val="10"/>
            <w:tcBorders>
              <w:top w:val="single" w:sz="4" w:space="0" w:color="auto"/>
              <w:left w:val="single" w:sz="4" w:space="0" w:color="auto"/>
              <w:bottom w:val="single" w:sz="4" w:space="0" w:color="auto"/>
              <w:right w:val="single" w:sz="4" w:space="0" w:color="000000"/>
            </w:tcBorders>
            <w:shd w:val="clear" w:color="auto" w:fill="FFC000"/>
            <w:noWrap/>
            <w:vAlign w:val="center"/>
            <w:hideMark/>
          </w:tcPr>
          <w:p w14:paraId="61C22B85" w14:textId="77777777" w:rsidR="004C78C0" w:rsidRPr="008D777B" w:rsidRDefault="004C78C0" w:rsidP="00654255">
            <w:pPr>
              <w:jc w:val="center"/>
              <w:rPr>
                <w:rFonts w:cstheme="minorHAnsi"/>
                <w:b/>
                <w:bCs/>
                <w:sz w:val="16"/>
                <w:szCs w:val="16"/>
              </w:rPr>
            </w:pPr>
            <w:r w:rsidRPr="008D777B">
              <w:rPr>
                <w:b/>
                <w:sz w:val="16"/>
              </w:rPr>
              <w:t>Commerce extérieur de l'industrie de l'ameublement (meubles en métal et matière synthétique inclus)</w:t>
            </w:r>
          </w:p>
        </w:tc>
      </w:tr>
      <w:tr w:rsidR="004C78C0" w:rsidRPr="008D777B" w14:paraId="56747977" w14:textId="77777777" w:rsidTr="00654255">
        <w:tc>
          <w:tcPr>
            <w:tcW w:w="1304" w:type="dxa"/>
            <w:tcBorders>
              <w:top w:val="nil"/>
              <w:left w:val="single" w:sz="4" w:space="0" w:color="auto"/>
              <w:bottom w:val="nil"/>
              <w:right w:val="nil"/>
            </w:tcBorders>
            <w:shd w:val="clear" w:color="000000" w:fill="FFFFFF"/>
            <w:noWrap/>
            <w:vAlign w:val="bottom"/>
            <w:hideMark/>
          </w:tcPr>
          <w:p w14:paraId="0470D49D" w14:textId="77777777" w:rsidR="004C78C0" w:rsidRPr="008D777B" w:rsidRDefault="004C78C0" w:rsidP="00654255">
            <w:pPr>
              <w:rPr>
                <w:rFonts w:cstheme="minorHAnsi"/>
                <w:color w:val="000000"/>
                <w:sz w:val="16"/>
                <w:szCs w:val="16"/>
              </w:rPr>
            </w:pPr>
            <w:r w:rsidRPr="008D777B">
              <w:rPr>
                <w:color w:val="000000"/>
                <w:sz w:val="16"/>
              </w:rPr>
              <w:t> </w:t>
            </w:r>
          </w:p>
        </w:tc>
        <w:tc>
          <w:tcPr>
            <w:tcW w:w="3558" w:type="dxa"/>
            <w:gridSpan w:val="4"/>
            <w:tcBorders>
              <w:top w:val="single" w:sz="4" w:space="0" w:color="auto"/>
              <w:left w:val="single" w:sz="4" w:space="0" w:color="auto"/>
              <w:bottom w:val="nil"/>
              <w:right w:val="single" w:sz="4" w:space="0" w:color="000000"/>
            </w:tcBorders>
            <w:shd w:val="clear" w:color="000000" w:fill="FFFFFF"/>
            <w:noWrap/>
            <w:vAlign w:val="bottom"/>
            <w:hideMark/>
          </w:tcPr>
          <w:p w14:paraId="77992BC7" w14:textId="77777777" w:rsidR="004C78C0" w:rsidRPr="008D777B" w:rsidRDefault="004C78C0" w:rsidP="00654255">
            <w:pPr>
              <w:jc w:val="center"/>
              <w:rPr>
                <w:rFonts w:cstheme="minorHAnsi"/>
                <w:b/>
                <w:bCs/>
                <w:color w:val="000000"/>
                <w:sz w:val="16"/>
                <w:szCs w:val="16"/>
              </w:rPr>
            </w:pPr>
            <w:r w:rsidRPr="008D777B">
              <w:rPr>
                <w:b/>
                <w:color w:val="000000"/>
                <w:sz w:val="16"/>
              </w:rPr>
              <w:t>Importations belges</w:t>
            </w:r>
          </w:p>
        </w:tc>
        <w:tc>
          <w:tcPr>
            <w:tcW w:w="3210" w:type="dxa"/>
            <w:gridSpan w:val="4"/>
            <w:tcBorders>
              <w:top w:val="nil"/>
              <w:left w:val="nil"/>
              <w:bottom w:val="nil"/>
              <w:right w:val="nil"/>
            </w:tcBorders>
            <w:shd w:val="clear" w:color="000000" w:fill="FFFFFF"/>
            <w:noWrap/>
            <w:vAlign w:val="bottom"/>
            <w:hideMark/>
          </w:tcPr>
          <w:p w14:paraId="4A315998" w14:textId="77777777" w:rsidR="004C78C0" w:rsidRPr="008D777B" w:rsidRDefault="004C78C0" w:rsidP="00654255">
            <w:pPr>
              <w:jc w:val="center"/>
              <w:rPr>
                <w:rFonts w:cstheme="minorHAnsi"/>
                <w:b/>
                <w:bCs/>
                <w:color w:val="000000"/>
                <w:sz w:val="16"/>
                <w:szCs w:val="16"/>
              </w:rPr>
            </w:pPr>
            <w:r w:rsidRPr="008D777B">
              <w:rPr>
                <w:b/>
                <w:color w:val="000000"/>
                <w:sz w:val="16"/>
              </w:rPr>
              <w:t>Exportations belges</w:t>
            </w:r>
          </w:p>
        </w:tc>
        <w:tc>
          <w:tcPr>
            <w:tcW w:w="991" w:type="dxa"/>
            <w:tcBorders>
              <w:top w:val="nil"/>
              <w:left w:val="single" w:sz="4" w:space="0" w:color="auto"/>
              <w:bottom w:val="nil"/>
              <w:right w:val="single" w:sz="4" w:space="0" w:color="auto"/>
            </w:tcBorders>
            <w:shd w:val="clear" w:color="000000" w:fill="FFFFFF"/>
            <w:noWrap/>
            <w:vAlign w:val="bottom"/>
            <w:hideMark/>
          </w:tcPr>
          <w:p w14:paraId="6246F010" w14:textId="77777777" w:rsidR="004C78C0" w:rsidRPr="008D777B" w:rsidRDefault="004C78C0" w:rsidP="00654255">
            <w:pPr>
              <w:jc w:val="center"/>
              <w:rPr>
                <w:rFonts w:cstheme="minorHAnsi"/>
                <w:color w:val="000000"/>
                <w:sz w:val="16"/>
                <w:szCs w:val="16"/>
              </w:rPr>
            </w:pPr>
            <w:r w:rsidRPr="008D777B">
              <w:rPr>
                <w:color w:val="000000"/>
                <w:sz w:val="16"/>
              </w:rPr>
              <w:t>Taux de</w:t>
            </w:r>
          </w:p>
        </w:tc>
      </w:tr>
      <w:tr w:rsidR="004C78C0" w:rsidRPr="008D777B" w14:paraId="0D1D480E" w14:textId="77777777" w:rsidTr="00654255">
        <w:tc>
          <w:tcPr>
            <w:tcW w:w="1304" w:type="dxa"/>
            <w:tcBorders>
              <w:top w:val="nil"/>
              <w:left w:val="single" w:sz="4" w:space="0" w:color="auto"/>
              <w:bottom w:val="nil"/>
              <w:right w:val="nil"/>
            </w:tcBorders>
            <w:shd w:val="clear" w:color="000000" w:fill="FFFFFF"/>
            <w:noWrap/>
            <w:vAlign w:val="bottom"/>
            <w:hideMark/>
          </w:tcPr>
          <w:p w14:paraId="4D64BA66" w14:textId="77777777" w:rsidR="004C78C0" w:rsidRPr="008D777B" w:rsidRDefault="004C78C0" w:rsidP="00654255">
            <w:pPr>
              <w:rPr>
                <w:rFonts w:cstheme="minorHAnsi"/>
                <w:color w:val="000000"/>
                <w:sz w:val="16"/>
                <w:szCs w:val="16"/>
              </w:rPr>
            </w:pPr>
            <w:r w:rsidRPr="008D777B">
              <w:rPr>
                <w:color w:val="000000"/>
                <w:sz w:val="16"/>
              </w:rPr>
              <w:t> </w:t>
            </w:r>
          </w:p>
        </w:tc>
        <w:tc>
          <w:tcPr>
            <w:tcW w:w="905" w:type="dxa"/>
            <w:tcBorders>
              <w:top w:val="nil"/>
              <w:left w:val="single" w:sz="4" w:space="0" w:color="auto"/>
              <w:bottom w:val="nil"/>
              <w:right w:val="nil"/>
            </w:tcBorders>
            <w:shd w:val="clear" w:color="000000" w:fill="FFFFFF"/>
            <w:noWrap/>
            <w:vAlign w:val="bottom"/>
            <w:hideMark/>
          </w:tcPr>
          <w:p w14:paraId="2C4FB1AC" w14:textId="77777777" w:rsidR="004C78C0" w:rsidRPr="008D777B" w:rsidRDefault="004C78C0" w:rsidP="00654255">
            <w:pPr>
              <w:jc w:val="center"/>
              <w:rPr>
                <w:rFonts w:cstheme="minorHAnsi"/>
                <w:color w:val="000000"/>
                <w:sz w:val="16"/>
                <w:szCs w:val="16"/>
              </w:rPr>
            </w:pPr>
            <w:r w:rsidRPr="008D777B">
              <w:rPr>
                <w:color w:val="000000"/>
                <w:sz w:val="16"/>
              </w:rPr>
              <w:t>Part</w:t>
            </w:r>
          </w:p>
        </w:tc>
        <w:tc>
          <w:tcPr>
            <w:tcW w:w="990" w:type="dxa"/>
            <w:tcBorders>
              <w:top w:val="nil"/>
              <w:left w:val="nil"/>
              <w:bottom w:val="nil"/>
              <w:right w:val="nil"/>
            </w:tcBorders>
            <w:shd w:val="clear" w:color="000000" w:fill="FFFFFF"/>
            <w:noWrap/>
            <w:vAlign w:val="bottom"/>
            <w:hideMark/>
          </w:tcPr>
          <w:p w14:paraId="085FEC6E"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990" w:type="dxa"/>
            <w:tcBorders>
              <w:top w:val="nil"/>
              <w:left w:val="nil"/>
              <w:bottom w:val="nil"/>
              <w:right w:val="nil"/>
            </w:tcBorders>
            <w:shd w:val="clear" w:color="000000" w:fill="FFFFFF"/>
            <w:noWrap/>
            <w:vAlign w:val="bottom"/>
            <w:hideMark/>
          </w:tcPr>
          <w:p w14:paraId="62FDDC60"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673" w:type="dxa"/>
            <w:tcBorders>
              <w:top w:val="nil"/>
              <w:left w:val="nil"/>
              <w:bottom w:val="nil"/>
              <w:right w:val="single" w:sz="4" w:space="0" w:color="auto"/>
            </w:tcBorders>
            <w:shd w:val="clear" w:color="000000" w:fill="FFFFFF"/>
            <w:noWrap/>
            <w:vAlign w:val="bottom"/>
            <w:hideMark/>
          </w:tcPr>
          <w:p w14:paraId="3FFC335B"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829" w:type="dxa"/>
            <w:tcBorders>
              <w:top w:val="nil"/>
              <w:left w:val="nil"/>
              <w:bottom w:val="nil"/>
              <w:right w:val="nil"/>
            </w:tcBorders>
            <w:shd w:val="clear" w:color="000000" w:fill="FFFFFF"/>
            <w:noWrap/>
            <w:vAlign w:val="bottom"/>
            <w:hideMark/>
          </w:tcPr>
          <w:p w14:paraId="494AF3CA" w14:textId="77777777" w:rsidR="004C78C0" w:rsidRPr="008D777B" w:rsidRDefault="004C78C0" w:rsidP="00654255">
            <w:pPr>
              <w:jc w:val="center"/>
              <w:rPr>
                <w:rFonts w:cstheme="minorHAnsi"/>
                <w:color w:val="000000"/>
                <w:sz w:val="16"/>
                <w:szCs w:val="16"/>
              </w:rPr>
            </w:pPr>
            <w:r w:rsidRPr="008D777B">
              <w:rPr>
                <w:color w:val="000000"/>
                <w:sz w:val="16"/>
              </w:rPr>
              <w:t>Part</w:t>
            </w:r>
          </w:p>
        </w:tc>
        <w:tc>
          <w:tcPr>
            <w:tcW w:w="854" w:type="dxa"/>
            <w:tcBorders>
              <w:top w:val="nil"/>
              <w:left w:val="nil"/>
              <w:bottom w:val="nil"/>
              <w:right w:val="nil"/>
            </w:tcBorders>
            <w:shd w:val="clear" w:color="000000" w:fill="FFFFFF"/>
            <w:noWrap/>
            <w:vAlign w:val="bottom"/>
            <w:hideMark/>
          </w:tcPr>
          <w:p w14:paraId="5B775C08"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854" w:type="dxa"/>
            <w:tcBorders>
              <w:top w:val="nil"/>
              <w:left w:val="nil"/>
              <w:bottom w:val="nil"/>
              <w:right w:val="nil"/>
            </w:tcBorders>
            <w:shd w:val="clear" w:color="000000" w:fill="FFFFFF"/>
            <w:noWrap/>
            <w:vAlign w:val="bottom"/>
            <w:hideMark/>
          </w:tcPr>
          <w:p w14:paraId="0D127BF8"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673" w:type="dxa"/>
            <w:tcBorders>
              <w:top w:val="nil"/>
              <w:left w:val="nil"/>
              <w:bottom w:val="nil"/>
              <w:right w:val="nil"/>
            </w:tcBorders>
            <w:shd w:val="clear" w:color="000000" w:fill="FFFFFF"/>
            <w:noWrap/>
            <w:vAlign w:val="bottom"/>
            <w:hideMark/>
          </w:tcPr>
          <w:p w14:paraId="192AA380" w14:textId="77777777" w:rsidR="004C78C0" w:rsidRPr="008D777B" w:rsidRDefault="004C78C0" w:rsidP="00654255">
            <w:pPr>
              <w:jc w:val="center"/>
              <w:rPr>
                <w:rFonts w:cstheme="minorHAnsi"/>
                <w:color w:val="000000"/>
                <w:sz w:val="16"/>
                <w:szCs w:val="16"/>
              </w:rPr>
            </w:pPr>
            <w:r w:rsidRPr="008D777B">
              <w:rPr>
                <w:color w:val="000000"/>
                <w:sz w:val="16"/>
              </w:rPr>
              <w:t> </w:t>
            </w:r>
          </w:p>
        </w:tc>
        <w:tc>
          <w:tcPr>
            <w:tcW w:w="991" w:type="dxa"/>
            <w:tcBorders>
              <w:top w:val="nil"/>
              <w:left w:val="single" w:sz="4" w:space="0" w:color="auto"/>
              <w:bottom w:val="nil"/>
              <w:right w:val="single" w:sz="4" w:space="0" w:color="auto"/>
            </w:tcBorders>
            <w:shd w:val="clear" w:color="000000" w:fill="FFFFFF"/>
            <w:noWrap/>
            <w:vAlign w:val="bottom"/>
            <w:hideMark/>
          </w:tcPr>
          <w:p w14:paraId="13CF2724" w14:textId="77777777" w:rsidR="004C78C0" w:rsidRPr="008D777B" w:rsidRDefault="004C78C0" w:rsidP="00654255">
            <w:pPr>
              <w:jc w:val="center"/>
              <w:rPr>
                <w:rFonts w:cstheme="minorHAnsi"/>
                <w:color w:val="000000"/>
                <w:sz w:val="16"/>
                <w:szCs w:val="16"/>
              </w:rPr>
            </w:pPr>
            <w:r w:rsidRPr="008D777B">
              <w:rPr>
                <w:color w:val="000000"/>
                <w:sz w:val="16"/>
              </w:rPr>
              <w:t>couverture</w:t>
            </w:r>
          </w:p>
        </w:tc>
      </w:tr>
      <w:tr w:rsidR="004C78C0" w:rsidRPr="008D777B" w14:paraId="13CB276F" w14:textId="77777777" w:rsidTr="00654255">
        <w:tc>
          <w:tcPr>
            <w:tcW w:w="1304" w:type="dxa"/>
            <w:tcBorders>
              <w:top w:val="nil"/>
              <w:left w:val="single" w:sz="4" w:space="0" w:color="auto"/>
              <w:bottom w:val="nil"/>
              <w:right w:val="nil"/>
            </w:tcBorders>
            <w:shd w:val="clear" w:color="000000" w:fill="FFFFFF"/>
            <w:noWrap/>
            <w:vAlign w:val="bottom"/>
            <w:hideMark/>
          </w:tcPr>
          <w:p w14:paraId="3761E880" w14:textId="77777777" w:rsidR="004C78C0" w:rsidRPr="008D777B" w:rsidRDefault="004C78C0" w:rsidP="00654255">
            <w:pPr>
              <w:rPr>
                <w:rFonts w:cstheme="minorHAnsi"/>
                <w:color w:val="000000"/>
                <w:sz w:val="16"/>
                <w:szCs w:val="16"/>
              </w:rPr>
            </w:pPr>
            <w:r w:rsidRPr="008D777B">
              <w:rPr>
                <w:color w:val="000000"/>
                <w:sz w:val="16"/>
              </w:rPr>
              <w:t> </w:t>
            </w:r>
          </w:p>
        </w:tc>
        <w:tc>
          <w:tcPr>
            <w:tcW w:w="905" w:type="dxa"/>
            <w:tcBorders>
              <w:top w:val="nil"/>
              <w:left w:val="single" w:sz="4" w:space="0" w:color="auto"/>
              <w:bottom w:val="nil"/>
              <w:right w:val="nil"/>
            </w:tcBorders>
            <w:shd w:val="clear" w:color="000000" w:fill="FFFFFF"/>
            <w:noWrap/>
            <w:vAlign w:val="bottom"/>
            <w:hideMark/>
          </w:tcPr>
          <w:p w14:paraId="42213ECE"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990" w:type="dxa"/>
            <w:tcBorders>
              <w:top w:val="nil"/>
              <w:left w:val="nil"/>
              <w:bottom w:val="nil"/>
              <w:right w:val="nil"/>
            </w:tcBorders>
            <w:shd w:val="clear" w:color="000000" w:fill="FFFFFF"/>
            <w:noWrap/>
            <w:vAlign w:val="bottom"/>
            <w:hideMark/>
          </w:tcPr>
          <w:p w14:paraId="1073498B" w14:textId="77777777" w:rsidR="004C78C0" w:rsidRPr="008D777B" w:rsidRDefault="004C78C0" w:rsidP="00654255">
            <w:pPr>
              <w:jc w:val="center"/>
              <w:rPr>
                <w:rFonts w:cstheme="minorHAnsi"/>
                <w:color w:val="000000"/>
                <w:sz w:val="16"/>
                <w:szCs w:val="16"/>
              </w:rPr>
            </w:pPr>
            <w:r w:rsidRPr="008D777B">
              <w:rPr>
                <w:color w:val="000000"/>
                <w:sz w:val="16"/>
              </w:rPr>
              <w:t>6 m 2021</w:t>
            </w:r>
          </w:p>
        </w:tc>
        <w:tc>
          <w:tcPr>
            <w:tcW w:w="990" w:type="dxa"/>
            <w:tcBorders>
              <w:top w:val="nil"/>
              <w:left w:val="nil"/>
              <w:bottom w:val="nil"/>
              <w:right w:val="nil"/>
            </w:tcBorders>
            <w:shd w:val="clear" w:color="000000" w:fill="FFFFFF"/>
            <w:noWrap/>
            <w:vAlign w:val="bottom"/>
            <w:hideMark/>
          </w:tcPr>
          <w:p w14:paraId="31D911C5"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673" w:type="dxa"/>
            <w:tcBorders>
              <w:top w:val="nil"/>
              <w:left w:val="nil"/>
              <w:bottom w:val="nil"/>
              <w:right w:val="single" w:sz="4" w:space="0" w:color="auto"/>
            </w:tcBorders>
            <w:shd w:val="clear" w:color="000000" w:fill="FFFFFF"/>
            <w:noWrap/>
            <w:vAlign w:val="bottom"/>
            <w:hideMark/>
          </w:tcPr>
          <w:p w14:paraId="6F8B75D9" w14:textId="77777777" w:rsidR="004C78C0" w:rsidRPr="008D777B" w:rsidRDefault="004C78C0" w:rsidP="00654255">
            <w:pPr>
              <w:jc w:val="center"/>
              <w:rPr>
                <w:rFonts w:cstheme="minorHAnsi"/>
                <w:color w:val="000000"/>
                <w:sz w:val="16"/>
                <w:szCs w:val="16"/>
              </w:rPr>
            </w:pPr>
            <w:r w:rsidRPr="008D777B">
              <w:rPr>
                <w:color w:val="000000"/>
                <w:sz w:val="16"/>
              </w:rPr>
              <w:t>6 m</w:t>
            </w:r>
          </w:p>
        </w:tc>
        <w:tc>
          <w:tcPr>
            <w:tcW w:w="829" w:type="dxa"/>
            <w:tcBorders>
              <w:top w:val="nil"/>
              <w:left w:val="nil"/>
              <w:bottom w:val="nil"/>
              <w:right w:val="nil"/>
            </w:tcBorders>
            <w:shd w:val="clear" w:color="000000" w:fill="FFFFFF"/>
            <w:noWrap/>
            <w:vAlign w:val="bottom"/>
            <w:hideMark/>
          </w:tcPr>
          <w:p w14:paraId="54350A61"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854" w:type="dxa"/>
            <w:tcBorders>
              <w:top w:val="nil"/>
              <w:left w:val="nil"/>
              <w:bottom w:val="nil"/>
              <w:right w:val="nil"/>
            </w:tcBorders>
            <w:shd w:val="clear" w:color="000000" w:fill="FFFFFF"/>
            <w:noWrap/>
            <w:vAlign w:val="bottom"/>
            <w:hideMark/>
          </w:tcPr>
          <w:p w14:paraId="11DC1185" w14:textId="77777777" w:rsidR="004C78C0" w:rsidRPr="008D777B" w:rsidRDefault="004C78C0" w:rsidP="00654255">
            <w:pPr>
              <w:jc w:val="center"/>
              <w:rPr>
                <w:rFonts w:cstheme="minorHAnsi"/>
                <w:color w:val="000000"/>
                <w:sz w:val="16"/>
                <w:szCs w:val="16"/>
              </w:rPr>
            </w:pPr>
            <w:r w:rsidRPr="008D777B">
              <w:rPr>
                <w:color w:val="000000"/>
                <w:sz w:val="16"/>
              </w:rPr>
              <w:t>6 m 2021</w:t>
            </w:r>
          </w:p>
        </w:tc>
        <w:tc>
          <w:tcPr>
            <w:tcW w:w="854" w:type="dxa"/>
            <w:tcBorders>
              <w:top w:val="nil"/>
              <w:left w:val="nil"/>
              <w:bottom w:val="nil"/>
              <w:right w:val="nil"/>
            </w:tcBorders>
            <w:shd w:val="clear" w:color="000000" w:fill="FFFFFF"/>
            <w:noWrap/>
            <w:vAlign w:val="bottom"/>
            <w:hideMark/>
          </w:tcPr>
          <w:p w14:paraId="4298CC78" w14:textId="77777777" w:rsidR="004C78C0" w:rsidRPr="008D777B" w:rsidRDefault="004C78C0" w:rsidP="00654255">
            <w:pPr>
              <w:jc w:val="center"/>
              <w:rPr>
                <w:rFonts w:cstheme="minorHAnsi"/>
                <w:color w:val="000000"/>
                <w:sz w:val="16"/>
                <w:szCs w:val="16"/>
              </w:rPr>
            </w:pPr>
            <w:r w:rsidRPr="008D777B">
              <w:rPr>
                <w:color w:val="000000"/>
                <w:sz w:val="16"/>
              </w:rPr>
              <w:t>6 m 2022</w:t>
            </w:r>
          </w:p>
        </w:tc>
        <w:tc>
          <w:tcPr>
            <w:tcW w:w="673" w:type="dxa"/>
            <w:tcBorders>
              <w:top w:val="nil"/>
              <w:left w:val="nil"/>
              <w:bottom w:val="nil"/>
              <w:right w:val="single" w:sz="4" w:space="0" w:color="auto"/>
            </w:tcBorders>
            <w:shd w:val="clear" w:color="000000" w:fill="FFFFFF"/>
            <w:noWrap/>
            <w:vAlign w:val="bottom"/>
            <w:hideMark/>
          </w:tcPr>
          <w:p w14:paraId="7AE8F76C" w14:textId="77777777" w:rsidR="004C78C0" w:rsidRPr="008D777B" w:rsidRDefault="004C78C0" w:rsidP="00654255">
            <w:pPr>
              <w:jc w:val="center"/>
              <w:rPr>
                <w:rFonts w:cstheme="minorHAnsi"/>
                <w:color w:val="000000"/>
                <w:sz w:val="16"/>
                <w:szCs w:val="16"/>
              </w:rPr>
            </w:pPr>
            <w:r w:rsidRPr="008D777B">
              <w:rPr>
                <w:color w:val="000000"/>
                <w:sz w:val="16"/>
              </w:rPr>
              <w:t>6 m</w:t>
            </w:r>
          </w:p>
        </w:tc>
        <w:tc>
          <w:tcPr>
            <w:tcW w:w="991" w:type="dxa"/>
            <w:tcBorders>
              <w:top w:val="nil"/>
              <w:left w:val="nil"/>
              <w:bottom w:val="nil"/>
              <w:right w:val="single" w:sz="4" w:space="0" w:color="auto"/>
            </w:tcBorders>
            <w:shd w:val="clear" w:color="000000" w:fill="FFFFFF"/>
            <w:noWrap/>
            <w:vAlign w:val="bottom"/>
            <w:hideMark/>
          </w:tcPr>
          <w:p w14:paraId="5668F6A6" w14:textId="77777777" w:rsidR="004C78C0" w:rsidRPr="008D777B" w:rsidRDefault="004C78C0" w:rsidP="00654255">
            <w:pPr>
              <w:jc w:val="center"/>
              <w:rPr>
                <w:rFonts w:cstheme="minorHAnsi"/>
                <w:color w:val="000000"/>
                <w:sz w:val="16"/>
                <w:szCs w:val="16"/>
              </w:rPr>
            </w:pPr>
            <w:r w:rsidRPr="008D777B">
              <w:rPr>
                <w:color w:val="000000"/>
                <w:sz w:val="16"/>
              </w:rPr>
              <w:t>6 m 2022</w:t>
            </w:r>
          </w:p>
        </w:tc>
      </w:tr>
      <w:tr w:rsidR="004C78C0" w:rsidRPr="008D777B" w14:paraId="171A8909" w14:textId="77777777" w:rsidTr="00654255">
        <w:tc>
          <w:tcPr>
            <w:tcW w:w="1304" w:type="dxa"/>
            <w:tcBorders>
              <w:top w:val="single" w:sz="4" w:space="0" w:color="FFFFFF"/>
              <w:left w:val="single" w:sz="4" w:space="0" w:color="auto"/>
              <w:bottom w:val="single" w:sz="4" w:space="0" w:color="auto"/>
              <w:right w:val="nil"/>
            </w:tcBorders>
            <w:shd w:val="clear" w:color="000000" w:fill="FFFFFF"/>
            <w:noWrap/>
            <w:vAlign w:val="bottom"/>
            <w:hideMark/>
          </w:tcPr>
          <w:p w14:paraId="73B47ABA" w14:textId="77777777" w:rsidR="004C78C0" w:rsidRPr="008D777B" w:rsidRDefault="004C78C0" w:rsidP="00654255">
            <w:pPr>
              <w:rPr>
                <w:rFonts w:cstheme="minorHAnsi"/>
                <w:b/>
                <w:bCs/>
                <w:color w:val="000000"/>
                <w:sz w:val="16"/>
                <w:szCs w:val="16"/>
              </w:rPr>
            </w:pPr>
            <w:r w:rsidRPr="008D777B">
              <w:rPr>
                <w:b/>
                <w:color w:val="000000"/>
                <w:sz w:val="16"/>
              </w:rPr>
              <w:t>Pays</w:t>
            </w:r>
          </w:p>
        </w:tc>
        <w:tc>
          <w:tcPr>
            <w:tcW w:w="905" w:type="dxa"/>
            <w:tcBorders>
              <w:top w:val="single" w:sz="4" w:space="0" w:color="FFFFFF"/>
              <w:left w:val="single" w:sz="4" w:space="0" w:color="auto"/>
              <w:bottom w:val="single" w:sz="4" w:space="0" w:color="auto"/>
              <w:right w:val="single" w:sz="4" w:space="0" w:color="FFFFFF"/>
            </w:tcBorders>
            <w:shd w:val="clear" w:color="000000" w:fill="FFFFFF"/>
            <w:noWrap/>
            <w:vAlign w:val="bottom"/>
            <w:hideMark/>
          </w:tcPr>
          <w:p w14:paraId="6DD5349E" w14:textId="77777777" w:rsidR="004C78C0" w:rsidRPr="008D777B" w:rsidRDefault="004C78C0" w:rsidP="00654255">
            <w:pPr>
              <w:jc w:val="center"/>
              <w:rPr>
                <w:rFonts w:cstheme="minorHAnsi"/>
                <w:color w:val="000000"/>
                <w:sz w:val="16"/>
                <w:szCs w:val="16"/>
              </w:rPr>
            </w:pPr>
            <w:r w:rsidRPr="008D777B">
              <w:rPr>
                <w:color w:val="000000"/>
                <w:sz w:val="16"/>
              </w:rPr>
              <w:t>en %</w:t>
            </w:r>
          </w:p>
        </w:tc>
        <w:tc>
          <w:tcPr>
            <w:tcW w:w="990" w:type="dxa"/>
            <w:tcBorders>
              <w:top w:val="single" w:sz="4" w:space="0" w:color="FFFFFF"/>
              <w:left w:val="nil"/>
              <w:bottom w:val="single" w:sz="4" w:space="0" w:color="auto"/>
              <w:right w:val="single" w:sz="4" w:space="0" w:color="FFFFFF"/>
            </w:tcBorders>
            <w:shd w:val="clear" w:color="000000" w:fill="FFFFFF"/>
            <w:noWrap/>
            <w:vAlign w:val="bottom"/>
            <w:hideMark/>
          </w:tcPr>
          <w:p w14:paraId="275085C4"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990" w:type="dxa"/>
            <w:tcBorders>
              <w:top w:val="single" w:sz="4" w:space="0" w:color="FFFFFF"/>
              <w:left w:val="nil"/>
              <w:bottom w:val="single" w:sz="4" w:space="0" w:color="auto"/>
              <w:right w:val="single" w:sz="4" w:space="0" w:color="FFFFFF"/>
            </w:tcBorders>
            <w:shd w:val="clear" w:color="000000" w:fill="FFFFFF"/>
            <w:noWrap/>
            <w:vAlign w:val="bottom"/>
            <w:hideMark/>
          </w:tcPr>
          <w:p w14:paraId="57286720"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673" w:type="dxa"/>
            <w:tcBorders>
              <w:top w:val="nil"/>
              <w:left w:val="nil"/>
              <w:bottom w:val="single" w:sz="4" w:space="0" w:color="auto"/>
              <w:right w:val="single" w:sz="4" w:space="0" w:color="auto"/>
            </w:tcBorders>
            <w:shd w:val="clear" w:color="000000" w:fill="FFFFFF"/>
            <w:noWrap/>
            <w:vAlign w:val="bottom"/>
            <w:hideMark/>
          </w:tcPr>
          <w:p w14:paraId="440915EF" w14:textId="77777777" w:rsidR="004C78C0" w:rsidRPr="008D777B" w:rsidRDefault="004C78C0" w:rsidP="00654255">
            <w:pPr>
              <w:jc w:val="center"/>
              <w:rPr>
                <w:rFonts w:cstheme="minorHAnsi"/>
                <w:color w:val="000000"/>
                <w:sz w:val="16"/>
                <w:szCs w:val="16"/>
              </w:rPr>
            </w:pPr>
            <w:r w:rsidRPr="008D777B">
              <w:rPr>
                <w:color w:val="000000"/>
                <w:sz w:val="16"/>
              </w:rPr>
              <w:t>22/21</w:t>
            </w:r>
          </w:p>
        </w:tc>
        <w:tc>
          <w:tcPr>
            <w:tcW w:w="829" w:type="dxa"/>
            <w:tcBorders>
              <w:top w:val="single" w:sz="4" w:space="0" w:color="FFFFFF"/>
              <w:left w:val="nil"/>
              <w:bottom w:val="single" w:sz="4" w:space="0" w:color="auto"/>
              <w:right w:val="single" w:sz="4" w:space="0" w:color="FFFFFF"/>
            </w:tcBorders>
            <w:shd w:val="clear" w:color="000000" w:fill="FFFFFF"/>
            <w:noWrap/>
            <w:vAlign w:val="bottom"/>
            <w:hideMark/>
          </w:tcPr>
          <w:p w14:paraId="2B9B4D77" w14:textId="77777777" w:rsidR="004C78C0" w:rsidRPr="008D777B" w:rsidRDefault="004C78C0" w:rsidP="00654255">
            <w:pPr>
              <w:jc w:val="center"/>
              <w:rPr>
                <w:rFonts w:cstheme="minorHAnsi"/>
                <w:color w:val="000000"/>
                <w:sz w:val="16"/>
                <w:szCs w:val="16"/>
              </w:rPr>
            </w:pPr>
            <w:r w:rsidRPr="008D777B">
              <w:rPr>
                <w:color w:val="000000"/>
                <w:sz w:val="16"/>
              </w:rPr>
              <w:t>en %</w:t>
            </w:r>
          </w:p>
        </w:tc>
        <w:tc>
          <w:tcPr>
            <w:tcW w:w="854" w:type="dxa"/>
            <w:tcBorders>
              <w:top w:val="single" w:sz="4" w:space="0" w:color="FFFFFF"/>
              <w:left w:val="nil"/>
              <w:bottom w:val="single" w:sz="4" w:space="0" w:color="auto"/>
              <w:right w:val="single" w:sz="4" w:space="0" w:color="FFFFFF"/>
            </w:tcBorders>
            <w:shd w:val="clear" w:color="000000" w:fill="FFFFFF"/>
            <w:noWrap/>
            <w:vAlign w:val="bottom"/>
            <w:hideMark/>
          </w:tcPr>
          <w:p w14:paraId="7FF78752"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854" w:type="dxa"/>
            <w:tcBorders>
              <w:top w:val="single" w:sz="4" w:space="0" w:color="FFFFFF"/>
              <w:left w:val="nil"/>
              <w:bottom w:val="single" w:sz="4" w:space="0" w:color="auto"/>
              <w:right w:val="single" w:sz="4" w:space="0" w:color="FFFFFF"/>
            </w:tcBorders>
            <w:shd w:val="clear" w:color="000000" w:fill="FFFFFF"/>
            <w:noWrap/>
            <w:vAlign w:val="bottom"/>
            <w:hideMark/>
          </w:tcPr>
          <w:p w14:paraId="560F64BA" w14:textId="77777777" w:rsidR="004C78C0" w:rsidRPr="008D777B" w:rsidRDefault="004C78C0" w:rsidP="00654255">
            <w:pPr>
              <w:jc w:val="center"/>
              <w:rPr>
                <w:rFonts w:cstheme="minorHAnsi"/>
                <w:color w:val="000000"/>
                <w:sz w:val="16"/>
                <w:szCs w:val="16"/>
              </w:rPr>
            </w:pPr>
            <w:r w:rsidRPr="008D777B">
              <w:rPr>
                <w:color w:val="000000"/>
                <w:sz w:val="16"/>
              </w:rPr>
              <w:t>1.000 EUR</w:t>
            </w:r>
          </w:p>
        </w:tc>
        <w:tc>
          <w:tcPr>
            <w:tcW w:w="673" w:type="dxa"/>
            <w:tcBorders>
              <w:top w:val="nil"/>
              <w:left w:val="nil"/>
              <w:bottom w:val="single" w:sz="4" w:space="0" w:color="auto"/>
              <w:right w:val="single" w:sz="4" w:space="0" w:color="auto"/>
            </w:tcBorders>
            <w:shd w:val="clear" w:color="000000" w:fill="FFFFFF"/>
            <w:noWrap/>
            <w:vAlign w:val="bottom"/>
            <w:hideMark/>
          </w:tcPr>
          <w:p w14:paraId="27980ADD" w14:textId="77777777" w:rsidR="004C78C0" w:rsidRPr="008D777B" w:rsidRDefault="004C78C0" w:rsidP="00654255">
            <w:pPr>
              <w:jc w:val="center"/>
              <w:rPr>
                <w:rFonts w:cstheme="minorHAnsi"/>
                <w:color w:val="000000"/>
                <w:sz w:val="16"/>
                <w:szCs w:val="16"/>
              </w:rPr>
            </w:pPr>
            <w:r w:rsidRPr="008D777B">
              <w:rPr>
                <w:color w:val="000000"/>
                <w:sz w:val="16"/>
              </w:rPr>
              <w:t>22/21</w:t>
            </w:r>
          </w:p>
        </w:tc>
        <w:tc>
          <w:tcPr>
            <w:tcW w:w="991" w:type="dxa"/>
            <w:tcBorders>
              <w:top w:val="single" w:sz="4" w:space="0" w:color="FFFFFF"/>
              <w:left w:val="nil"/>
              <w:bottom w:val="single" w:sz="4" w:space="0" w:color="auto"/>
              <w:right w:val="single" w:sz="4" w:space="0" w:color="auto"/>
            </w:tcBorders>
            <w:shd w:val="clear" w:color="000000" w:fill="FFFFFF"/>
            <w:noWrap/>
            <w:vAlign w:val="bottom"/>
            <w:hideMark/>
          </w:tcPr>
          <w:p w14:paraId="0EE58B37" w14:textId="77777777" w:rsidR="004C78C0" w:rsidRPr="008D777B" w:rsidRDefault="004C78C0" w:rsidP="00654255">
            <w:pPr>
              <w:jc w:val="center"/>
              <w:rPr>
                <w:rFonts w:cstheme="minorHAnsi"/>
                <w:color w:val="000000"/>
                <w:sz w:val="16"/>
                <w:szCs w:val="16"/>
              </w:rPr>
            </w:pPr>
            <w:r w:rsidRPr="008D777B">
              <w:rPr>
                <w:color w:val="000000"/>
                <w:sz w:val="16"/>
              </w:rPr>
              <w:t>(</w:t>
            </w:r>
            <w:proofErr w:type="spellStart"/>
            <w:r w:rsidRPr="008D777B">
              <w:rPr>
                <w:color w:val="000000"/>
                <w:sz w:val="16"/>
              </w:rPr>
              <w:t>Exp</w:t>
            </w:r>
            <w:proofErr w:type="spellEnd"/>
            <w:r w:rsidRPr="008D777B">
              <w:rPr>
                <w:color w:val="000000"/>
                <w:sz w:val="16"/>
              </w:rPr>
              <w:t>/</w:t>
            </w:r>
            <w:proofErr w:type="spellStart"/>
            <w:r w:rsidRPr="008D777B">
              <w:rPr>
                <w:color w:val="000000"/>
                <w:sz w:val="16"/>
              </w:rPr>
              <w:t>imp</w:t>
            </w:r>
            <w:proofErr w:type="spellEnd"/>
            <w:r w:rsidRPr="008D777B">
              <w:rPr>
                <w:color w:val="000000"/>
                <w:sz w:val="16"/>
              </w:rPr>
              <w:t>)</w:t>
            </w:r>
          </w:p>
        </w:tc>
      </w:tr>
      <w:tr w:rsidR="004C78C0" w:rsidRPr="008D777B" w14:paraId="4CE32512"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007DFC1" w14:textId="77777777" w:rsidR="004C78C0" w:rsidRPr="008D777B" w:rsidRDefault="004C78C0" w:rsidP="00654255">
            <w:pPr>
              <w:rPr>
                <w:rFonts w:cstheme="minorHAnsi"/>
                <w:color w:val="000000"/>
                <w:sz w:val="16"/>
                <w:szCs w:val="16"/>
              </w:rPr>
            </w:pPr>
            <w:r w:rsidRPr="008D777B">
              <w:rPr>
                <w:color w:val="000000"/>
                <w:sz w:val="16"/>
              </w:rPr>
              <w:t>Togo</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91FE5D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7C2987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F60023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01410066"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35B9006D"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1552385B" w14:textId="77777777" w:rsidR="004C78C0" w:rsidRPr="008D777B" w:rsidRDefault="004C78C0" w:rsidP="00654255">
            <w:pPr>
              <w:jc w:val="right"/>
              <w:rPr>
                <w:rFonts w:cstheme="minorHAnsi"/>
                <w:color w:val="000000"/>
                <w:sz w:val="16"/>
                <w:szCs w:val="16"/>
              </w:rPr>
            </w:pPr>
            <w:r w:rsidRPr="008D777B">
              <w:rPr>
                <w:color w:val="000000"/>
                <w:sz w:val="16"/>
              </w:rPr>
              <w:t>87,6</w:t>
            </w:r>
          </w:p>
        </w:tc>
        <w:tc>
          <w:tcPr>
            <w:tcW w:w="854" w:type="dxa"/>
            <w:tcBorders>
              <w:top w:val="nil"/>
              <w:left w:val="nil"/>
              <w:bottom w:val="single" w:sz="4" w:space="0" w:color="FFFFFF"/>
              <w:right w:val="single" w:sz="4" w:space="0" w:color="FFFFFF"/>
            </w:tcBorders>
            <w:shd w:val="clear" w:color="auto" w:fill="auto"/>
            <w:noWrap/>
            <w:vAlign w:val="bottom"/>
            <w:hideMark/>
          </w:tcPr>
          <w:p w14:paraId="0E48C970" w14:textId="77777777" w:rsidR="004C78C0" w:rsidRPr="008D777B" w:rsidRDefault="004C78C0" w:rsidP="00654255">
            <w:pPr>
              <w:jc w:val="right"/>
              <w:rPr>
                <w:rFonts w:cstheme="minorHAnsi"/>
                <w:color w:val="000000"/>
                <w:sz w:val="16"/>
                <w:szCs w:val="16"/>
              </w:rPr>
            </w:pPr>
            <w:r w:rsidRPr="008D777B">
              <w:rPr>
                <w:color w:val="000000"/>
                <w:sz w:val="16"/>
              </w:rPr>
              <w:t>737,8</w:t>
            </w:r>
          </w:p>
        </w:tc>
        <w:tc>
          <w:tcPr>
            <w:tcW w:w="673" w:type="dxa"/>
            <w:tcBorders>
              <w:top w:val="nil"/>
              <w:left w:val="nil"/>
              <w:bottom w:val="single" w:sz="4" w:space="0" w:color="FFFFFF"/>
              <w:right w:val="nil"/>
            </w:tcBorders>
            <w:shd w:val="clear" w:color="auto" w:fill="auto"/>
            <w:noWrap/>
            <w:vAlign w:val="bottom"/>
            <w:hideMark/>
          </w:tcPr>
          <w:p w14:paraId="19648104" w14:textId="77777777" w:rsidR="004C78C0" w:rsidRPr="008D777B" w:rsidRDefault="004C78C0" w:rsidP="00654255">
            <w:pPr>
              <w:jc w:val="right"/>
              <w:rPr>
                <w:rFonts w:cstheme="minorHAnsi"/>
                <w:color w:val="000000"/>
                <w:sz w:val="16"/>
                <w:szCs w:val="16"/>
              </w:rPr>
            </w:pPr>
            <w:r w:rsidRPr="008D777B">
              <w:rPr>
                <w:color w:val="000000"/>
                <w:sz w:val="16"/>
              </w:rPr>
              <w:t>742,6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FB63A30"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6AA2DD6D"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111F104" w14:textId="77777777" w:rsidR="004C78C0" w:rsidRPr="008D777B" w:rsidRDefault="004C78C0" w:rsidP="00654255">
            <w:pPr>
              <w:rPr>
                <w:rFonts w:cstheme="minorHAnsi"/>
                <w:color w:val="000000"/>
                <w:sz w:val="16"/>
                <w:szCs w:val="16"/>
              </w:rPr>
            </w:pPr>
            <w:r w:rsidRPr="008D777B">
              <w:rPr>
                <w:color w:val="000000"/>
                <w:sz w:val="16"/>
              </w:rPr>
              <w:t>Sénégal</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857F93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201DB14" w14:textId="77777777" w:rsidR="004C78C0" w:rsidRPr="008D777B" w:rsidRDefault="004C78C0" w:rsidP="00654255">
            <w:pPr>
              <w:jc w:val="right"/>
              <w:rPr>
                <w:rFonts w:cstheme="minorHAnsi"/>
                <w:color w:val="000000"/>
                <w:sz w:val="16"/>
                <w:szCs w:val="16"/>
              </w:rPr>
            </w:pPr>
            <w:r w:rsidRPr="008D777B">
              <w:rPr>
                <w:color w:val="000000"/>
                <w:sz w:val="16"/>
              </w:rPr>
              <w:t>24,4</w:t>
            </w:r>
          </w:p>
        </w:tc>
        <w:tc>
          <w:tcPr>
            <w:tcW w:w="990" w:type="dxa"/>
            <w:tcBorders>
              <w:top w:val="nil"/>
              <w:left w:val="nil"/>
              <w:bottom w:val="single" w:sz="4" w:space="0" w:color="FFFFFF"/>
              <w:right w:val="single" w:sz="4" w:space="0" w:color="FFFFFF"/>
            </w:tcBorders>
            <w:shd w:val="clear" w:color="auto" w:fill="auto"/>
            <w:vAlign w:val="bottom"/>
            <w:hideMark/>
          </w:tcPr>
          <w:p w14:paraId="6C3E4509"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673" w:type="dxa"/>
            <w:tcBorders>
              <w:top w:val="nil"/>
              <w:left w:val="nil"/>
              <w:bottom w:val="single" w:sz="4" w:space="0" w:color="FFFFFF"/>
              <w:right w:val="single" w:sz="4" w:space="0" w:color="auto"/>
            </w:tcBorders>
            <w:shd w:val="clear" w:color="auto" w:fill="auto"/>
            <w:noWrap/>
            <w:vAlign w:val="bottom"/>
            <w:hideMark/>
          </w:tcPr>
          <w:p w14:paraId="2BEB6202" w14:textId="77777777" w:rsidR="004C78C0" w:rsidRPr="008D777B" w:rsidRDefault="004C78C0" w:rsidP="00654255">
            <w:pPr>
              <w:jc w:val="right"/>
              <w:rPr>
                <w:rFonts w:cstheme="minorHAnsi"/>
                <w:color w:val="000000"/>
                <w:sz w:val="16"/>
                <w:szCs w:val="16"/>
              </w:rPr>
            </w:pPr>
            <w:r w:rsidRPr="008D777B">
              <w:rPr>
                <w:color w:val="000000"/>
                <w:sz w:val="16"/>
              </w:rPr>
              <w:t>-99,8</w:t>
            </w:r>
          </w:p>
        </w:tc>
        <w:tc>
          <w:tcPr>
            <w:tcW w:w="829" w:type="dxa"/>
            <w:tcBorders>
              <w:top w:val="nil"/>
              <w:left w:val="nil"/>
              <w:bottom w:val="single" w:sz="4" w:space="0" w:color="FFFFFF"/>
              <w:right w:val="single" w:sz="4" w:space="0" w:color="FFFFFF"/>
            </w:tcBorders>
            <w:shd w:val="clear" w:color="auto" w:fill="auto"/>
            <w:noWrap/>
            <w:vAlign w:val="bottom"/>
            <w:hideMark/>
          </w:tcPr>
          <w:p w14:paraId="001BA466"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3F7E7CF9" w14:textId="77777777" w:rsidR="004C78C0" w:rsidRPr="008D777B" w:rsidRDefault="004C78C0" w:rsidP="00654255">
            <w:pPr>
              <w:jc w:val="right"/>
              <w:rPr>
                <w:rFonts w:cstheme="minorHAnsi"/>
                <w:color w:val="000000"/>
                <w:sz w:val="16"/>
                <w:szCs w:val="16"/>
              </w:rPr>
            </w:pPr>
            <w:r w:rsidRPr="008D777B">
              <w:rPr>
                <w:color w:val="000000"/>
                <w:sz w:val="16"/>
              </w:rPr>
              <w:t>752,9</w:t>
            </w:r>
          </w:p>
        </w:tc>
        <w:tc>
          <w:tcPr>
            <w:tcW w:w="854" w:type="dxa"/>
            <w:tcBorders>
              <w:top w:val="nil"/>
              <w:left w:val="nil"/>
              <w:bottom w:val="single" w:sz="4" w:space="0" w:color="FFFFFF"/>
              <w:right w:val="single" w:sz="4" w:space="0" w:color="FFFFFF"/>
            </w:tcBorders>
            <w:shd w:val="clear" w:color="auto" w:fill="auto"/>
            <w:noWrap/>
            <w:vAlign w:val="bottom"/>
            <w:hideMark/>
          </w:tcPr>
          <w:p w14:paraId="728D44D5" w14:textId="77777777" w:rsidR="004C78C0" w:rsidRPr="008D777B" w:rsidRDefault="004C78C0" w:rsidP="00654255">
            <w:pPr>
              <w:jc w:val="right"/>
              <w:rPr>
                <w:rFonts w:cstheme="minorHAnsi"/>
                <w:color w:val="000000"/>
                <w:sz w:val="16"/>
                <w:szCs w:val="16"/>
              </w:rPr>
            </w:pPr>
            <w:r w:rsidRPr="008D777B">
              <w:rPr>
                <w:color w:val="000000"/>
                <w:sz w:val="16"/>
              </w:rPr>
              <w:t>657,8</w:t>
            </w:r>
          </w:p>
        </w:tc>
        <w:tc>
          <w:tcPr>
            <w:tcW w:w="673" w:type="dxa"/>
            <w:tcBorders>
              <w:top w:val="nil"/>
              <w:left w:val="nil"/>
              <w:bottom w:val="single" w:sz="4" w:space="0" w:color="FFFFFF"/>
              <w:right w:val="nil"/>
            </w:tcBorders>
            <w:shd w:val="clear" w:color="auto" w:fill="auto"/>
            <w:noWrap/>
            <w:vAlign w:val="bottom"/>
            <w:hideMark/>
          </w:tcPr>
          <w:p w14:paraId="30968894" w14:textId="77777777" w:rsidR="004C78C0" w:rsidRPr="008D777B" w:rsidRDefault="004C78C0" w:rsidP="00654255">
            <w:pPr>
              <w:jc w:val="right"/>
              <w:rPr>
                <w:rFonts w:cstheme="minorHAnsi"/>
                <w:color w:val="000000"/>
                <w:sz w:val="16"/>
                <w:szCs w:val="16"/>
              </w:rPr>
            </w:pPr>
            <w:r w:rsidRPr="008D777B">
              <w:rPr>
                <w:color w:val="000000"/>
                <w:sz w:val="16"/>
              </w:rPr>
              <w:t>-12,6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A027082" w14:textId="77777777" w:rsidR="004C78C0" w:rsidRPr="008D777B" w:rsidRDefault="004C78C0" w:rsidP="00654255">
            <w:pPr>
              <w:jc w:val="right"/>
              <w:rPr>
                <w:rFonts w:cstheme="minorHAnsi"/>
                <w:color w:val="000000"/>
                <w:sz w:val="16"/>
                <w:szCs w:val="16"/>
              </w:rPr>
            </w:pPr>
            <w:r w:rsidRPr="008D777B">
              <w:rPr>
                <w:color w:val="000000"/>
                <w:sz w:val="16"/>
              </w:rPr>
              <w:t>1.114.857,6</w:t>
            </w:r>
          </w:p>
        </w:tc>
      </w:tr>
      <w:tr w:rsidR="004C78C0" w:rsidRPr="008D777B" w14:paraId="3B7DA805"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5159344" w14:textId="77777777" w:rsidR="004C78C0" w:rsidRPr="008D777B" w:rsidRDefault="004C78C0" w:rsidP="00654255">
            <w:pPr>
              <w:rPr>
                <w:rFonts w:cstheme="minorHAnsi"/>
                <w:color w:val="000000"/>
                <w:sz w:val="16"/>
                <w:szCs w:val="16"/>
              </w:rPr>
            </w:pPr>
            <w:r w:rsidRPr="008D777B">
              <w:rPr>
                <w:color w:val="000000"/>
                <w:sz w:val="16"/>
              </w:rPr>
              <w:t>Arabie saoudite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7BF441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FA2E1AB" w14:textId="77777777" w:rsidR="004C78C0" w:rsidRPr="008D777B" w:rsidRDefault="004C78C0" w:rsidP="00654255">
            <w:pPr>
              <w:jc w:val="right"/>
              <w:rPr>
                <w:rFonts w:cstheme="minorHAnsi"/>
                <w:color w:val="000000"/>
                <w:sz w:val="16"/>
                <w:szCs w:val="16"/>
              </w:rPr>
            </w:pPr>
            <w:r w:rsidRPr="008D777B">
              <w:rPr>
                <w:color w:val="000000"/>
                <w:sz w:val="16"/>
              </w:rPr>
              <w:t>5,0</w:t>
            </w:r>
          </w:p>
        </w:tc>
        <w:tc>
          <w:tcPr>
            <w:tcW w:w="990" w:type="dxa"/>
            <w:tcBorders>
              <w:top w:val="nil"/>
              <w:left w:val="nil"/>
              <w:bottom w:val="single" w:sz="4" w:space="0" w:color="FFFFFF"/>
              <w:right w:val="single" w:sz="4" w:space="0" w:color="FFFFFF"/>
            </w:tcBorders>
            <w:shd w:val="clear" w:color="auto" w:fill="auto"/>
            <w:vAlign w:val="bottom"/>
            <w:hideMark/>
          </w:tcPr>
          <w:p w14:paraId="56B83E61" w14:textId="77777777" w:rsidR="004C78C0" w:rsidRPr="008D777B" w:rsidRDefault="004C78C0" w:rsidP="00654255">
            <w:pPr>
              <w:jc w:val="right"/>
              <w:rPr>
                <w:rFonts w:cstheme="minorHAnsi"/>
                <w:color w:val="000000"/>
                <w:sz w:val="16"/>
                <w:szCs w:val="16"/>
              </w:rPr>
            </w:pPr>
            <w:r w:rsidRPr="008D777B">
              <w:rPr>
                <w:color w:val="000000"/>
                <w:sz w:val="16"/>
              </w:rPr>
              <w:t>0,4</w:t>
            </w:r>
          </w:p>
        </w:tc>
        <w:tc>
          <w:tcPr>
            <w:tcW w:w="673" w:type="dxa"/>
            <w:tcBorders>
              <w:top w:val="nil"/>
              <w:left w:val="nil"/>
              <w:bottom w:val="single" w:sz="4" w:space="0" w:color="FFFFFF"/>
              <w:right w:val="single" w:sz="4" w:space="0" w:color="auto"/>
            </w:tcBorders>
            <w:shd w:val="clear" w:color="auto" w:fill="auto"/>
            <w:noWrap/>
            <w:vAlign w:val="bottom"/>
            <w:hideMark/>
          </w:tcPr>
          <w:p w14:paraId="753DE062" w14:textId="77777777" w:rsidR="004C78C0" w:rsidRPr="008D777B" w:rsidRDefault="004C78C0" w:rsidP="00654255">
            <w:pPr>
              <w:jc w:val="right"/>
              <w:rPr>
                <w:rFonts w:cstheme="minorHAnsi"/>
                <w:color w:val="000000"/>
                <w:sz w:val="16"/>
                <w:szCs w:val="16"/>
              </w:rPr>
            </w:pPr>
            <w:r w:rsidRPr="008D777B">
              <w:rPr>
                <w:color w:val="000000"/>
                <w:sz w:val="16"/>
              </w:rPr>
              <w:t>-91,7</w:t>
            </w:r>
          </w:p>
        </w:tc>
        <w:tc>
          <w:tcPr>
            <w:tcW w:w="829" w:type="dxa"/>
            <w:tcBorders>
              <w:top w:val="nil"/>
              <w:left w:val="nil"/>
              <w:bottom w:val="single" w:sz="4" w:space="0" w:color="FFFFFF"/>
              <w:right w:val="single" w:sz="4" w:space="0" w:color="FFFFFF"/>
            </w:tcBorders>
            <w:shd w:val="clear" w:color="auto" w:fill="auto"/>
            <w:noWrap/>
            <w:vAlign w:val="bottom"/>
            <w:hideMark/>
          </w:tcPr>
          <w:p w14:paraId="61D604F0"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6A885668" w14:textId="77777777" w:rsidR="004C78C0" w:rsidRPr="008D777B" w:rsidRDefault="004C78C0" w:rsidP="00654255">
            <w:pPr>
              <w:jc w:val="right"/>
              <w:rPr>
                <w:rFonts w:cstheme="minorHAnsi"/>
                <w:color w:val="000000"/>
                <w:sz w:val="16"/>
                <w:szCs w:val="16"/>
              </w:rPr>
            </w:pPr>
            <w:r w:rsidRPr="008D777B">
              <w:rPr>
                <w:color w:val="000000"/>
                <w:sz w:val="16"/>
              </w:rPr>
              <w:t>645,4</w:t>
            </w:r>
          </w:p>
        </w:tc>
        <w:tc>
          <w:tcPr>
            <w:tcW w:w="854" w:type="dxa"/>
            <w:tcBorders>
              <w:top w:val="nil"/>
              <w:left w:val="nil"/>
              <w:bottom w:val="single" w:sz="4" w:space="0" w:color="FFFFFF"/>
              <w:right w:val="single" w:sz="4" w:space="0" w:color="FFFFFF"/>
            </w:tcBorders>
            <w:shd w:val="clear" w:color="auto" w:fill="auto"/>
            <w:noWrap/>
            <w:vAlign w:val="bottom"/>
            <w:hideMark/>
          </w:tcPr>
          <w:p w14:paraId="0B67D137" w14:textId="77777777" w:rsidR="004C78C0" w:rsidRPr="008D777B" w:rsidRDefault="004C78C0" w:rsidP="00654255">
            <w:pPr>
              <w:jc w:val="right"/>
              <w:rPr>
                <w:rFonts w:cstheme="minorHAnsi"/>
                <w:color w:val="000000"/>
                <w:sz w:val="16"/>
                <w:szCs w:val="16"/>
              </w:rPr>
            </w:pPr>
            <w:r w:rsidRPr="008D777B">
              <w:rPr>
                <w:color w:val="000000"/>
                <w:sz w:val="16"/>
              </w:rPr>
              <w:t>630,9</w:t>
            </w:r>
          </w:p>
        </w:tc>
        <w:tc>
          <w:tcPr>
            <w:tcW w:w="673" w:type="dxa"/>
            <w:tcBorders>
              <w:top w:val="nil"/>
              <w:left w:val="nil"/>
              <w:bottom w:val="single" w:sz="4" w:space="0" w:color="FFFFFF"/>
              <w:right w:val="nil"/>
            </w:tcBorders>
            <w:shd w:val="clear" w:color="auto" w:fill="auto"/>
            <w:noWrap/>
            <w:vAlign w:val="bottom"/>
            <w:hideMark/>
          </w:tcPr>
          <w:p w14:paraId="28D1E101" w14:textId="77777777" w:rsidR="004C78C0" w:rsidRPr="008D777B" w:rsidRDefault="004C78C0" w:rsidP="00654255">
            <w:pPr>
              <w:jc w:val="right"/>
              <w:rPr>
                <w:rFonts w:cstheme="minorHAnsi"/>
                <w:color w:val="000000"/>
                <w:sz w:val="16"/>
                <w:szCs w:val="16"/>
              </w:rPr>
            </w:pPr>
            <w:r w:rsidRPr="008D777B">
              <w:rPr>
                <w:color w:val="000000"/>
                <w:sz w:val="16"/>
              </w:rPr>
              <w:t>-2,2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6B1BBC8" w14:textId="77777777" w:rsidR="004C78C0" w:rsidRPr="008D777B" w:rsidRDefault="004C78C0" w:rsidP="00654255">
            <w:pPr>
              <w:jc w:val="right"/>
              <w:rPr>
                <w:rFonts w:cstheme="minorHAnsi"/>
                <w:color w:val="000000"/>
                <w:sz w:val="16"/>
                <w:szCs w:val="16"/>
              </w:rPr>
            </w:pPr>
            <w:r w:rsidRPr="008D777B">
              <w:rPr>
                <w:color w:val="000000"/>
                <w:sz w:val="16"/>
              </w:rPr>
              <w:t>152.381,9</w:t>
            </w:r>
          </w:p>
        </w:tc>
      </w:tr>
      <w:tr w:rsidR="004C78C0" w:rsidRPr="008D777B" w14:paraId="4E3BB1E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EA3A2C7" w14:textId="77777777" w:rsidR="004C78C0" w:rsidRPr="008D777B" w:rsidRDefault="004C78C0" w:rsidP="00654255">
            <w:pPr>
              <w:rPr>
                <w:rFonts w:cstheme="minorHAnsi"/>
                <w:color w:val="000000"/>
                <w:sz w:val="16"/>
                <w:szCs w:val="16"/>
              </w:rPr>
            </w:pPr>
            <w:r w:rsidRPr="008D777B">
              <w:rPr>
                <w:color w:val="000000"/>
                <w:sz w:val="16"/>
              </w:rPr>
              <w:t>Hong Kong</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6A899C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D1FB624" w14:textId="77777777" w:rsidR="004C78C0" w:rsidRPr="008D777B" w:rsidRDefault="004C78C0" w:rsidP="00654255">
            <w:pPr>
              <w:jc w:val="right"/>
              <w:rPr>
                <w:rFonts w:cstheme="minorHAnsi"/>
                <w:color w:val="000000"/>
                <w:sz w:val="16"/>
                <w:szCs w:val="16"/>
              </w:rPr>
            </w:pPr>
            <w:r w:rsidRPr="008D777B">
              <w:rPr>
                <w:color w:val="000000"/>
                <w:sz w:val="16"/>
              </w:rPr>
              <w:t>4.890,9</w:t>
            </w:r>
          </w:p>
        </w:tc>
        <w:tc>
          <w:tcPr>
            <w:tcW w:w="990" w:type="dxa"/>
            <w:tcBorders>
              <w:top w:val="nil"/>
              <w:left w:val="nil"/>
              <w:bottom w:val="single" w:sz="4" w:space="0" w:color="FFFFFF"/>
              <w:right w:val="single" w:sz="4" w:space="0" w:color="FFFFFF"/>
            </w:tcBorders>
            <w:shd w:val="clear" w:color="auto" w:fill="auto"/>
            <w:vAlign w:val="bottom"/>
            <w:hideMark/>
          </w:tcPr>
          <w:p w14:paraId="549B56EC" w14:textId="77777777" w:rsidR="004C78C0" w:rsidRPr="008D777B" w:rsidRDefault="004C78C0" w:rsidP="00654255">
            <w:pPr>
              <w:jc w:val="right"/>
              <w:rPr>
                <w:rFonts w:cstheme="minorHAnsi"/>
                <w:color w:val="000000"/>
                <w:sz w:val="16"/>
                <w:szCs w:val="16"/>
              </w:rPr>
            </w:pPr>
            <w:r w:rsidRPr="008D777B">
              <w:rPr>
                <w:color w:val="000000"/>
                <w:sz w:val="16"/>
              </w:rPr>
              <w:t>602,4</w:t>
            </w:r>
          </w:p>
        </w:tc>
        <w:tc>
          <w:tcPr>
            <w:tcW w:w="673" w:type="dxa"/>
            <w:tcBorders>
              <w:top w:val="nil"/>
              <w:left w:val="nil"/>
              <w:bottom w:val="single" w:sz="4" w:space="0" w:color="FFFFFF"/>
              <w:right w:val="single" w:sz="4" w:space="0" w:color="auto"/>
            </w:tcBorders>
            <w:shd w:val="clear" w:color="auto" w:fill="auto"/>
            <w:noWrap/>
            <w:vAlign w:val="bottom"/>
            <w:hideMark/>
          </w:tcPr>
          <w:p w14:paraId="66627F63" w14:textId="77777777" w:rsidR="004C78C0" w:rsidRPr="008D777B" w:rsidRDefault="004C78C0" w:rsidP="00654255">
            <w:pPr>
              <w:jc w:val="right"/>
              <w:rPr>
                <w:rFonts w:cstheme="minorHAnsi"/>
                <w:color w:val="000000"/>
                <w:sz w:val="16"/>
                <w:szCs w:val="16"/>
              </w:rPr>
            </w:pPr>
            <w:r w:rsidRPr="008D777B">
              <w:rPr>
                <w:color w:val="000000"/>
                <w:sz w:val="16"/>
              </w:rPr>
              <w:t>-87,7</w:t>
            </w:r>
          </w:p>
        </w:tc>
        <w:tc>
          <w:tcPr>
            <w:tcW w:w="829" w:type="dxa"/>
            <w:tcBorders>
              <w:top w:val="nil"/>
              <w:left w:val="nil"/>
              <w:bottom w:val="single" w:sz="4" w:space="0" w:color="FFFFFF"/>
              <w:right w:val="single" w:sz="4" w:space="0" w:color="FFFFFF"/>
            </w:tcBorders>
            <w:shd w:val="clear" w:color="auto" w:fill="auto"/>
            <w:noWrap/>
            <w:vAlign w:val="bottom"/>
            <w:hideMark/>
          </w:tcPr>
          <w:p w14:paraId="6BBDE921"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6FA593F7" w14:textId="77777777" w:rsidR="004C78C0" w:rsidRPr="008D777B" w:rsidRDefault="004C78C0" w:rsidP="00654255">
            <w:pPr>
              <w:jc w:val="right"/>
              <w:rPr>
                <w:rFonts w:cstheme="minorHAnsi"/>
                <w:color w:val="000000"/>
                <w:sz w:val="16"/>
                <w:szCs w:val="16"/>
              </w:rPr>
            </w:pPr>
            <w:r w:rsidRPr="008D777B">
              <w:rPr>
                <w:color w:val="000000"/>
                <w:sz w:val="16"/>
              </w:rPr>
              <w:t>699,2</w:t>
            </w:r>
          </w:p>
        </w:tc>
        <w:tc>
          <w:tcPr>
            <w:tcW w:w="854" w:type="dxa"/>
            <w:tcBorders>
              <w:top w:val="nil"/>
              <w:left w:val="nil"/>
              <w:bottom w:val="single" w:sz="4" w:space="0" w:color="FFFFFF"/>
              <w:right w:val="single" w:sz="4" w:space="0" w:color="FFFFFF"/>
            </w:tcBorders>
            <w:shd w:val="clear" w:color="auto" w:fill="auto"/>
            <w:noWrap/>
            <w:vAlign w:val="bottom"/>
            <w:hideMark/>
          </w:tcPr>
          <w:p w14:paraId="3E2A6A09" w14:textId="77777777" w:rsidR="004C78C0" w:rsidRPr="008D777B" w:rsidRDefault="004C78C0" w:rsidP="00654255">
            <w:pPr>
              <w:jc w:val="right"/>
              <w:rPr>
                <w:rFonts w:cstheme="minorHAnsi"/>
                <w:color w:val="000000"/>
                <w:sz w:val="16"/>
                <w:szCs w:val="16"/>
              </w:rPr>
            </w:pPr>
            <w:r w:rsidRPr="008D777B">
              <w:rPr>
                <w:color w:val="000000"/>
                <w:sz w:val="16"/>
              </w:rPr>
              <w:t>593,8</w:t>
            </w:r>
          </w:p>
        </w:tc>
        <w:tc>
          <w:tcPr>
            <w:tcW w:w="673" w:type="dxa"/>
            <w:tcBorders>
              <w:top w:val="nil"/>
              <w:left w:val="nil"/>
              <w:bottom w:val="single" w:sz="4" w:space="0" w:color="FFFFFF"/>
              <w:right w:val="nil"/>
            </w:tcBorders>
            <w:shd w:val="clear" w:color="auto" w:fill="auto"/>
            <w:noWrap/>
            <w:vAlign w:val="bottom"/>
            <w:hideMark/>
          </w:tcPr>
          <w:p w14:paraId="7C32A61F" w14:textId="77777777" w:rsidR="004C78C0" w:rsidRPr="008D777B" w:rsidRDefault="004C78C0" w:rsidP="00654255">
            <w:pPr>
              <w:jc w:val="right"/>
              <w:rPr>
                <w:rFonts w:cstheme="minorHAnsi"/>
                <w:color w:val="000000"/>
                <w:sz w:val="16"/>
                <w:szCs w:val="16"/>
              </w:rPr>
            </w:pPr>
            <w:r w:rsidRPr="008D777B">
              <w:rPr>
                <w:color w:val="000000"/>
                <w:sz w:val="16"/>
              </w:rPr>
              <w:t>-15,1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E1BDEB6" w14:textId="77777777" w:rsidR="004C78C0" w:rsidRPr="008D777B" w:rsidRDefault="004C78C0" w:rsidP="00654255">
            <w:pPr>
              <w:jc w:val="right"/>
              <w:rPr>
                <w:rFonts w:cstheme="minorHAnsi"/>
                <w:color w:val="000000"/>
                <w:sz w:val="16"/>
                <w:szCs w:val="16"/>
              </w:rPr>
            </w:pPr>
            <w:r w:rsidRPr="008D777B">
              <w:rPr>
                <w:color w:val="000000"/>
                <w:sz w:val="16"/>
              </w:rPr>
              <w:t>98,6</w:t>
            </w:r>
          </w:p>
        </w:tc>
      </w:tr>
      <w:tr w:rsidR="004C78C0" w:rsidRPr="008D777B" w14:paraId="0BD62DBD"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323BC55" w14:textId="77777777" w:rsidR="004C78C0" w:rsidRPr="008D777B" w:rsidRDefault="004C78C0" w:rsidP="00654255">
            <w:pPr>
              <w:rPr>
                <w:rFonts w:cstheme="minorHAnsi"/>
                <w:color w:val="000000"/>
                <w:sz w:val="16"/>
                <w:szCs w:val="16"/>
              </w:rPr>
            </w:pPr>
            <w:r w:rsidRPr="008D777B">
              <w:rPr>
                <w:color w:val="000000"/>
                <w:sz w:val="16"/>
              </w:rPr>
              <w:t>Inde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CFD0089" w14:textId="77777777" w:rsidR="004C78C0" w:rsidRPr="008D777B" w:rsidRDefault="004C78C0" w:rsidP="00654255">
            <w:pPr>
              <w:jc w:val="right"/>
              <w:rPr>
                <w:rFonts w:cstheme="minorHAnsi"/>
                <w:color w:val="000000"/>
                <w:sz w:val="16"/>
                <w:szCs w:val="16"/>
              </w:rPr>
            </w:pPr>
            <w:r w:rsidRPr="008D777B">
              <w:rPr>
                <w:color w:val="000000"/>
                <w:sz w:val="16"/>
              </w:rPr>
              <w:t>1,5</w:t>
            </w:r>
          </w:p>
        </w:tc>
        <w:tc>
          <w:tcPr>
            <w:tcW w:w="990" w:type="dxa"/>
            <w:tcBorders>
              <w:top w:val="nil"/>
              <w:left w:val="nil"/>
              <w:bottom w:val="single" w:sz="4" w:space="0" w:color="FFFFFF"/>
              <w:right w:val="single" w:sz="4" w:space="0" w:color="FFFFFF"/>
            </w:tcBorders>
            <w:shd w:val="clear" w:color="auto" w:fill="auto"/>
            <w:vAlign w:val="bottom"/>
            <w:hideMark/>
          </w:tcPr>
          <w:p w14:paraId="410A8B0B" w14:textId="77777777" w:rsidR="004C78C0" w:rsidRPr="008D777B" w:rsidRDefault="004C78C0" w:rsidP="00654255">
            <w:pPr>
              <w:jc w:val="right"/>
              <w:rPr>
                <w:rFonts w:cstheme="minorHAnsi"/>
                <w:color w:val="000000"/>
                <w:sz w:val="16"/>
                <w:szCs w:val="16"/>
              </w:rPr>
            </w:pPr>
            <w:r w:rsidRPr="008D777B">
              <w:rPr>
                <w:color w:val="000000"/>
                <w:sz w:val="16"/>
              </w:rPr>
              <w:t>16.761,0</w:t>
            </w:r>
          </w:p>
        </w:tc>
        <w:tc>
          <w:tcPr>
            <w:tcW w:w="990" w:type="dxa"/>
            <w:tcBorders>
              <w:top w:val="nil"/>
              <w:left w:val="nil"/>
              <w:bottom w:val="single" w:sz="4" w:space="0" w:color="FFFFFF"/>
              <w:right w:val="single" w:sz="4" w:space="0" w:color="FFFFFF"/>
            </w:tcBorders>
            <w:shd w:val="clear" w:color="auto" w:fill="auto"/>
            <w:vAlign w:val="bottom"/>
            <w:hideMark/>
          </w:tcPr>
          <w:p w14:paraId="4C8507D3" w14:textId="77777777" w:rsidR="004C78C0" w:rsidRPr="008D777B" w:rsidRDefault="004C78C0" w:rsidP="00654255">
            <w:pPr>
              <w:jc w:val="right"/>
              <w:rPr>
                <w:rFonts w:cstheme="minorHAnsi"/>
                <w:color w:val="000000"/>
                <w:sz w:val="16"/>
                <w:szCs w:val="16"/>
              </w:rPr>
            </w:pPr>
            <w:r w:rsidRPr="008D777B">
              <w:rPr>
                <w:color w:val="000000"/>
                <w:sz w:val="16"/>
              </w:rPr>
              <w:t>22.334,7</w:t>
            </w:r>
          </w:p>
        </w:tc>
        <w:tc>
          <w:tcPr>
            <w:tcW w:w="673" w:type="dxa"/>
            <w:tcBorders>
              <w:top w:val="nil"/>
              <w:left w:val="nil"/>
              <w:bottom w:val="single" w:sz="4" w:space="0" w:color="FFFFFF"/>
              <w:right w:val="single" w:sz="4" w:space="0" w:color="auto"/>
            </w:tcBorders>
            <w:shd w:val="clear" w:color="auto" w:fill="auto"/>
            <w:noWrap/>
            <w:vAlign w:val="bottom"/>
            <w:hideMark/>
          </w:tcPr>
          <w:p w14:paraId="268A19E6" w14:textId="77777777" w:rsidR="004C78C0" w:rsidRPr="008D777B" w:rsidRDefault="004C78C0" w:rsidP="00654255">
            <w:pPr>
              <w:jc w:val="right"/>
              <w:rPr>
                <w:rFonts w:cstheme="minorHAnsi"/>
                <w:color w:val="000000"/>
                <w:sz w:val="16"/>
                <w:szCs w:val="16"/>
              </w:rPr>
            </w:pPr>
            <w:r w:rsidRPr="008D777B">
              <w:rPr>
                <w:color w:val="000000"/>
                <w:sz w:val="16"/>
              </w:rPr>
              <w:t>33,3</w:t>
            </w:r>
          </w:p>
        </w:tc>
        <w:tc>
          <w:tcPr>
            <w:tcW w:w="829" w:type="dxa"/>
            <w:tcBorders>
              <w:top w:val="nil"/>
              <w:left w:val="nil"/>
              <w:bottom w:val="single" w:sz="4" w:space="0" w:color="FFFFFF"/>
              <w:right w:val="single" w:sz="4" w:space="0" w:color="FFFFFF"/>
            </w:tcBorders>
            <w:shd w:val="clear" w:color="auto" w:fill="auto"/>
            <w:noWrap/>
            <w:vAlign w:val="bottom"/>
            <w:hideMark/>
          </w:tcPr>
          <w:p w14:paraId="1B1043C8"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5A04FE1C" w14:textId="77777777" w:rsidR="004C78C0" w:rsidRPr="008D777B" w:rsidRDefault="004C78C0" w:rsidP="00654255">
            <w:pPr>
              <w:jc w:val="right"/>
              <w:rPr>
                <w:rFonts w:cstheme="minorHAnsi"/>
                <w:color w:val="000000"/>
                <w:sz w:val="16"/>
                <w:szCs w:val="16"/>
              </w:rPr>
            </w:pPr>
            <w:r w:rsidRPr="008D777B">
              <w:rPr>
                <w:color w:val="000000"/>
                <w:sz w:val="16"/>
              </w:rPr>
              <w:t>196,3</w:t>
            </w:r>
          </w:p>
        </w:tc>
        <w:tc>
          <w:tcPr>
            <w:tcW w:w="854" w:type="dxa"/>
            <w:tcBorders>
              <w:top w:val="nil"/>
              <w:left w:val="nil"/>
              <w:bottom w:val="single" w:sz="4" w:space="0" w:color="FFFFFF"/>
              <w:right w:val="single" w:sz="4" w:space="0" w:color="FFFFFF"/>
            </w:tcBorders>
            <w:shd w:val="clear" w:color="auto" w:fill="auto"/>
            <w:noWrap/>
            <w:vAlign w:val="bottom"/>
            <w:hideMark/>
          </w:tcPr>
          <w:p w14:paraId="0C9569B1" w14:textId="77777777" w:rsidR="004C78C0" w:rsidRPr="008D777B" w:rsidRDefault="004C78C0" w:rsidP="00654255">
            <w:pPr>
              <w:jc w:val="right"/>
              <w:rPr>
                <w:rFonts w:cstheme="minorHAnsi"/>
                <w:color w:val="000000"/>
                <w:sz w:val="16"/>
                <w:szCs w:val="16"/>
              </w:rPr>
            </w:pPr>
            <w:r w:rsidRPr="008D777B">
              <w:rPr>
                <w:color w:val="000000"/>
                <w:sz w:val="16"/>
              </w:rPr>
              <w:t>564,0</w:t>
            </w:r>
          </w:p>
        </w:tc>
        <w:tc>
          <w:tcPr>
            <w:tcW w:w="673" w:type="dxa"/>
            <w:tcBorders>
              <w:top w:val="nil"/>
              <w:left w:val="nil"/>
              <w:bottom w:val="single" w:sz="4" w:space="0" w:color="FFFFFF"/>
              <w:right w:val="nil"/>
            </w:tcBorders>
            <w:shd w:val="clear" w:color="auto" w:fill="auto"/>
            <w:noWrap/>
            <w:vAlign w:val="bottom"/>
            <w:hideMark/>
          </w:tcPr>
          <w:p w14:paraId="5B0465E5" w14:textId="77777777" w:rsidR="004C78C0" w:rsidRPr="008D777B" w:rsidRDefault="004C78C0" w:rsidP="00654255">
            <w:pPr>
              <w:jc w:val="right"/>
              <w:rPr>
                <w:rFonts w:cstheme="minorHAnsi"/>
                <w:color w:val="000000"/>
                <w:sz w:val="16"/>
                <w:szCs w:val="16"/>
              </w:rPr>
            </w:pPr>
            <w:r w:rsidRPr="008D777B">
              <w:rPr>
                <w:color w:val="000000"/>
                <w:sz w:val="16"/>
              </w:rPr>
              <w:t>187,4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2C5DDAE" w14:textId="77777777" w:rsidR="004C78C0" w:rsidRPr="008D777B" w:rsidRDefault="004C78C0" w:rsidP="00654255">
            <w:pPr>
              <w:jc w:val="right"/>
              <w:rPr>
                <w:rFonts w:cstheme="minorHAnsi"/>
                <w:color w:val="000000"/>
                <w:sz w:val="16"/>
                <w:szCs w:val="16"/>
              </w:rPr>
            </w:pPr>
            <w:r w:rsidRPr="008D777B">
              <w:rPr>
                <w:color w:val="000000"/>
                <w:sz w:val="16"/>
              </w:rPr>
              <w:t>2,5</w:t>
            </w:r>
          </w:p>
        </w:tc>
      </w:tr>
      <w:tr w:rsidR="004C78C0" w:rsidRPr="008D777B" w14:paraId="289D821C"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2A550C0" w14:textId="77777777" w:rsidR="004C78C0" w:rsidRPr="008D777B" w:rsidRDefault="004C78C0" w:rsidP="00654255">
            <w:pPr>
              <w:rPr>
                <w:rFonts w:cstheme="minorHAnsi"/>
                <w:color w:val="000000"/>
                <w:sz w:val="16"/>
                <w:szCs w:val="16"/>
              </w:rPr>
            </w:pPr>
            <w:r w:rsidRPr="008D777B">
              <w:rPr>
                <w:color w:val="000000"/>
                <w:sz w:val="16"/>
              </w:rPr>
              <w:t>Islande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B17AC3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636AB5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A58485B"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47DC886D"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726A8E5E"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7CE4A501" w14:textId="77777777" w:rsidR="004C78C0" w:rsidRPr="008D777B" w:rsidRDefault="004C78C0" w:rsidP="00654255">
            <w:pPr>
              <w:jc w:val="right"/>
              <w:rPr>
                <w:rFonts w:cstheme="minorHAnsi"/>
                <w:color w:val="000000"/>
                <w:sz w:val="16"/>
                <w:szCs w:val="16"/>
              </w:rPr>
            </w:pPr>
            <w:r w:rsidRPr="008D777B">
              <w:rPr>
                <w:color w:val="000000"/>
                <w:sz w:val="16"/>
              </w:rPr>
              <w:t>677,7</w:t>
            </w:r>
          </w:p>
        </w:tc>
        <w:tc>
          <w:tcPr>
            <w:tcW w:w="854" w:type="dxa"/>
            <w:tcBorders>
              <w:top w:val="nil"/>
              <w:left w:val="nil"/>
              <w:bottom w:val="single" w:sz="4" w:space="0" w:color="FFFFFF"/>
              <w:right w:val="single" w:sz="4" w:space="0" w:color="FFFFFF"/>
            </w:tcBorders>
            <w:shd w:val="clear" w:color="auto" w:fill="auto"/>
            <w:noWrap/>
            <w:vAlign w:val="bottom"/>
            <w:hideMark/>
          </w:tcPr>
          <w:p w14:paraId="6A9B171D" w14:textId="77777777" w:rsidR="004C78C0" w:rsidRPr="008D777B" w:rsidRDefault="004C78C0" w:rsidP="00654255">
            <w:pPr>
              <w:jc w:val="right"/>
              <w:rPr>
                <w:rFonts w:cstheme="minorHAnsi"/>
                <w:color w:val="000000"/>
                <w:sz w:val="16"/>
                <w:szCs w:val="16"/>
              </w:rPr>
            </w:pPr>
            <w:r w:rsidRPr="008D777B">
              <w:rPr>
                <w:color w:val="000000"/>
                <w:sz w:val="16"/>
              </w:rPr>
              <w:t>550,5</w:t>
            </w:r>
          </w:p>
        </w:tc>
        <w:tc>
          <w:tcPr>
            <w:tcW w:w="673" w:type="dxa"/>
            <w:tcBorders>
              <w:top w:val="nil"/>
              <w:left w:val="nil"/>
              <w:bottom w:val="single" w:sz="4" w:space="0" w:color="FFFFFF"/>
              <w:right w:val="nil"/>
            </w:tcBorders>
            <w:shd w:val="clear" w:color="auto" w:fill="auto"/>
            <w:noWrap/>
            <w:vAlign w:val="bottom"/>
            <w:hideMark/>
          </w:tcPr>
          <w:p w14:paraId="5AD2A832" w14:textId="77777777" w:rsidR="004C78C0" w:rsidRPr="008D777B" w:rsidRDefault="004C78C0" w:rsidP="00654255">
            <w:pPr>
              <w:jc w:val="right"/>
              <w:rPr>
                <w:rFonts w:cstheme="minorHAnsi"/>
                <w:color w:val="000000"/>
                <w:sz w:val="16"/>
                <w:szCs w:val="16"/>
              </w:rPr>
            </w:pPr>
            <w:r w:rsidRPr="008D777B">
              <w:rPr>
                <w:color w:val="000000"/>
                <w:sz w:val="16"/>
              </w:rPr>
              <w:t>-18,8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E8B7F3F"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49434388"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D952711" w14:textId="77777777" w:rsidR="004C78C0" w:rsidRPr="008D777B" w:rsidRDefault="004C78C0" w:rsidP="00654255">
            <w:pPr>
              <w:rPr>
                <w:rFonts w:cstheme="minorHAnsi"/>
                <w:color w:val="000000"/>
                <w:sz w:val="16"/>
                <w:szCs w:val="16"/>
              </w:rPr>
            </w:pPr>
            <w:r w:rsidRPr="008D777B">
              <w:rPr>
                <w:color w:val="000000"/>
                <w:sz w:val="16"/>
              </w:rPr>
              <w:t>Liban</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E08882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85CE763" w14:textId="77777777" w:rsidR="004C78C0" w:rsidRPr="008D777B" w:rsidRDefault="004C78C0" w:rsidP="00654255">
            <w:pPr>
              <w:jc w:val="right"/>
              <w:rPr>
                <w:rFonts w:cstheme="minorHAnsi"/>
                <w:color w:val="000000"/>
                <w:sz w:val="16"/>
                <w:szCs w:val="16"/>
              </w:rPr>
            </w:pPr>
            <w:r w:rsidRPr="008D777B">
              <w:rPr>
                <w:color w:val="000000"/>
                <w:sz w:val="16"/>
              </w:rPr>
              <w:t>271,5</w:t>
            </w:r>
          </w:p>
        </w:tc>
        <w:tc>
          <w:tcPr>
            <w:tcW w:w="990" w:type="dxa"/>
            <w:tcBorders>
              <w:top w:val="nil"/>
              <w:left w:val="nil"/>
              <w:bottom w:val="single" w:sz="4" w:space="0" w:color="FFFFFF"/>
              <w:right w:val="single" w:sz="4" w:space="0" w:color="FFFFFF"/>
            </w:tcBorders>
            <w:shd w:val="clear" w:color="auto" w:fill="auto"/>
            <w:vAlign w:val="bottom"/>
            <w:hideMark/>
          </w:tcPr>
          <w:p w14:paraId="2F258DEB" w14:textId="77777777" w:rsidR="004C78C0" w:rsidRPr="008D777B" w:rsidRDefault="004C78C0" w:rsidP="00654255">
            <w:pPr>
              <w:jc w:val="right"/>
              <w:rPr>
                <w:rFonts w:cstheme="minorHAnsi"/>
                <w:color w:val="000000"/>
                <w:sz w:val="16"/>
                <w:szCs w:val="16"/>
              </w:rPr>
            </w:pPr>
            <w:r w:rsidRPr="008D777B">
              <w:rPr>
                <w:color w:val="000000"/>
                <w:sz w:val="16"/>
              </w:rPr>
              <w:t>423,1</w:t>
            </w:r>
          </w:p>
        </w:tc>
        <w:tc>
          <w:tcPr>
            <w:tcW w:w="673" w:type="dxa"/>
            <w:tcBorders>
              <w:top w:val="nil"/>
              <w:left w:val="nil"/>
              <w:bottom w:val="single" w:sz="4" w:space="0" w:color="FFFFFF"/>
              <w:right w:val="single" w:sz="4" w:space="0" w:color="auto"/>
            </w:tcBorders>
            <w:shd w:val="clear" w:color="auto" w:fill="auto"/>
            <w:noWrap/>
            <w:vAlign w:val="bottom"/>
            <w:hideMark/>
          </w:tcPr>
          <w:p w14:paraId="4EC238C0" w14:textId="77777777" w:rsidR="004C78C0" w:rsidRPr="008D777B" w:rsidRDefault="004C78C0" w:rsidP="00654255">
            <w:pPr>
              <w:jc w:val="right"/>
              <w:rPr>
                <w:rFonts w:cstheme="minorHAnsi"/>
                <w:color w:val="000000"/>
                <w:sz w:val="16"/>
                <w:szCs w:val="16"/>
              </w:rPr>
            </w:pPr>
            <w:r w:rsidRPr="008D777B">
              <w:rPr>
                <w:color w:val="000000"/>
                <w:sz w:val="16"/>
              </w:rPr>
              <w:t>55,8</w:t>
            </w:r>
          </w:p>
        </w:tc>
        <w:tc>
          <w:tcPr>
            <w:tcW w:w="829" w:type="dxa"/>
            <w:tcBorders>
              <w:top w:val="nil"/>
              <w:left w:val="nil"/>
              <w:bottom w:val="single" w:sz="4" w:space="0" w:color="FFFFFF"/>
              <w:right w:val="single" w:sz="4" w:space="0" w:color="FFFFFF"/>
            </w:tcBorders>
            <w:shd w:val="clear" w:color="auto" w:fill="auto"/>
            <w:noWrap/>
            <w:vAlign w:val="bottom"/>
            <w:hideMark/>
          </w:tcPr>
          <w:p w14:paraId="0C08096D"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2B5E4EC0" w14:textId="77777777" w:rsidR="004C78C0" w:rsidRPr="008D777B" w:rsidRDefault="004C78C0" w:rsidP="00654255">
            <w:pPr>
              <w:jc w:val="right"/>
              <w:rPr>
                <w:rFonts w:cstheme="minorHAnsi"/>
                <w:color w:val="000000"/>
                <w:sz w:val="16"/>
                <w:szCs w:val="16"/>
              </w:rPr>
            </w:pPr>
            <w:r w:rsidRPr="008D777B">
              <w:rPr>
                <w:color w:val="000000"/>
                <w:sz w:val="16"/>
              </w:rPr>
              <w:t>323,4</w:t>
            </w:r>
          </w:p>
        </w:tc>
        <w:tc>
          <w:tcPr>
            <w:tcW w:w="854" w:type="dxa"/>
            <w:tcBorders>
              <w:top w:val="nil"/>
              <w:left w:val="nil"/>
              <w:bottom w:val="single" w:sz="4" w:space="0" w:color="FFFFFF"/>
              <w:right w:val="single" w:sz="4" w:space="0" w:color="FFFFFF"/>
            </w:tcBorders>
            <w:shd w:val="clear" w:color="auto" w:fill="auto"/>
            <w:noWrap/>
            <w:vAlign w:val="bottom"/>
            <w:hideMark/>
          </w:tcPr>
          <w:p w14:paraId="5BFFDF69" w14:textId="77777777" w:rsidR="004C78C0" w:rsidRPr="008D777B" w:rsidRDefault="004C78C0" w:rsidP="00654255">
            <w:pPr>
              <w:jc w:val="right"/>
              <w:rPr>
                <w:rFonts w:cstheme="minorHAnsi"/>
                <w:color w:val="000000"/>
                <w:sz w:val="16"/>
                <w:szCs w:val="16"/>
              </w:rPr>
            </w:pPr>
            <w:r w:rsidRPr="008D777B">
              <w:rPr>
                <w:color w:val="000000"/>
                <w:sz w:val="16"/>
              </w:rPr>
              <w:t>544,4</w:t>
            </w:r>
          </w:p>
        </w:tc>
        <w:tc>
          <w:tcPr>
            <w:tcW w:w="673" w:type="dxa"/>
            <w:tcBorders>
              <w:top w:val="nil"/>
              <w:left w:val="nil"/>
              <w:bottom w:val="single" w:sz="4" w:space="0" w:color="FFFFFF"/>
              <w:right w:val="nil"/>
            </w:tcBorders>
            <w:shd w:val="clear" w:color="auto" w:fill="auto"/>
            <w:noWrap/>
            <w:vAlign w:val="bottom"/>
            <w:hideMark/>
          </w:tcPr>
          <w:p w14:paraId="022A99D0" w14:textId="77777777" w:rsidR="004C78C0" w:rsidRPr="008D777B" w:rsidRDefault="004C78C0" w:rsidP="00654255">
            <w:pPr>
              <w:jc w:val="right"/>
              <w:rPr>
                <w:rFonts w:cstheme="minorHAnsi"/>
                <w:color w:val="000000"/>
                <w:sz w:val="16"/>
                <w:szCs w:val="16"/>
              </w:rPr>
            </w:pPr>
            <w:r w:rsidRPr="008D777B">
              <w:rPr>
                <w:color w:val="000000"/>
                <w:sz w:val="16"/>
              </w:rPr>
              <w:t>68,4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75B6BCC" w14:textId="77777777" w:rsidR="004C78C0" w:rsidRPr="008D777B" w:rsidRDefault="004C78C0" w:rsidP="00654255">
            <w:pPr>
              <w:jc w:val="right"/>
              <w:rPr>
                <w:rFonts w:cstheme="minorHAnsi"/>
                <w:color w:val="000000"/>
                <w:sz w:val="16"/>
                <w:szCs w:val="16"/>
              </w:rPr>
            </w:pPr>
            <w:r w:rsidRPr="008D777B">
              <w:rPr>
                <w:color w:val="000000"/>
                <w:sz w:val="16"/>
              </w:rPr>
              <w:t>128,7</w:t>
            </w:r>
          </w:p>
        </w:tc>
      </w:tr>
      <w:tr w:rsidR="004C78C0" w:rsidRPr="008D777B" w14:paraId="6304CC1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482A1C2" w14:textId="77777777" w:rsidR="004C78C0" w:rsidRPr="008D777B" w:rsidRDefault="004C78C0" w:rsidP="00654255">
            <w:pPr>
              <w:rPr>
                <w:rFonts w:cstheme="minorHAnsi"/>
                <w:color w:val="000000"/>
                <w:sz w:val="16"/>
                <w:szCs w:val="16"/>
              </w:rPr>
            </w:pPr>
            <w:r w:rsidRPr="008D777B">
              <w:rPr>
                <w:color w:val="000000"/>
                <w:sz w:val="16"/>
              </w:rPr>
              <w:t>Thaïlande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28451CB" w14:textId="77777777" w:rsidR="004C78C0" w:rsidRPr="008D777B" w:rsidRDefault="004C78C0" w:rsidP="00654255">
            <w:pPr>
              <w:jc w:val="right"/>
              <w:rPr>
                <w:rFonts w:cstheme="minorHAnsi"/>
                <w:color w:val="000000"/>
                <w:sz w:val="16"/>
                <w:szCs w:val="16"/>
              </w:rPr>
            </w:pPr>
            <w:r w:rsidRPr="008D777B">
              <w:rPr>
                <w:color w:val="000000"/>
                <w:sz w:val="16"/>
              </w:rPr>
              <w:t>0,4</w:t>
            </w:r>
          </w:p>
        </w:tc>
        <w:tc>
          <w:tcPr>
            <w:tcW w:w="990" w:type="dxa"/>
            <w:tcBorders>
              <w:top w:val="nil"/>
              <w:left w:val="nil"/>
              <w:bottom w:val="single" w:sz="4" w:space="0" w:color="FFFFFF"/>
              <w:right w:val="single" w:sz="4" w:space="0" w:color="FFFFFF"/>
            </w:tcBorders>
            <w:shd w:val="clear" w:color="auto" w:fill="auto"/>
            <w:vAlign w:val="bottom"/>
            <w:hideMark/>
          </w:tcPr>
          <w:p w14:paraId="794282B4" w14:textId="77777777" w:rsidR="004C78C0" w:rsidRPr="008D777B" w:rsidRDefault="004C78C0" w:rsidP="00654255">
            <w:pPr>
              <w:jc w:val="right"/>
              <w:rPr>
                <w:rFonts w:cstheme="minorHAnsi"/>
                <w:color w:val="000000"/>
                <w:sz w:val="16"/>
                <w:szCs w:val="16"/>
              </w:rPr>
            </w:pPr>
            <w:r w:rsidRPr="008D777B">
              <w:rPr>
                <w:color w:val="000000"/>
                <w:sz w:val="16"/>
              </w:rPr>
              <w:t>4.200,4</w:t>
            </w:r>
          </w:p>
        </w:tc>
        <w:tc>
          <w:tcPr>
            <w:tcW w:w="990" w:type="dxa"/>
            <w:tcBorders>
              <w:top w:val="nil"/>
              <w:left w:val="nil"/>
              <w:bottom w:val="single" w:sz="4" w:space="0" w:color="FFFFFF"/>
              <w:right w:val="single" w:sz="4" w:space="0" w:color="FFFFFF"/>
            </w:tcBorders>
            <w:shd w:val="clear" w:color="auto" w:fill="auto"/>
            <w:vAlign w:val="bottom"/>
            <w:hideMark/>
          </w:tcPr>
          <w:p w14:paraId="079D28CF" w14:textId="77777777" w:rsidR="004C78C0" w:rsidRPr="008D777B" w:rsidRDefault="004C78C0" w:rsidP="00654255">
            <w:pPr>
              <w:jc w:val="right"/>
              <w:rPr>
                <w:rFonts w:cstheme="minorHAnsi"/>
                <w:color w:val="000000"/>
                <w:sz w:val="16"/>
                <w:szCs w:val="16"/>
              </w:rPr>
            </w:pPr>
            <w:r w:rsidRPr="008D777B">
              <w:rPr>
                <w:color w:val="000000"/>
                <w:sz w:val="16"/>
              </w:rPr>
              <w:t>5.352,1</w:t>
            </w:r>
          </w:p>
        </w:tc>
        <w:tc>
          <w:tcPr>
            <w:tcW w:w="673" w:type="dxa"/>
            <w:tcBorders>
              <w:top w:val="nil"/>
              <w:left w:val="nil"/>
              <w:bottom w:val="single" w:sz="4" w:space="0" w:color="FFFFFF"/>
              <w:right w:val="single" w:sz="4" w:space="0" w:color="auto"/>
            </w:tcBorders>
            <w:shd w:val="clear" w:color="auto" w:fill="auto"/>
            <w:noWrap/>
            <w:vAlign w:val="bottom"/>
            <w:hideMark/>
          </w:tcPr>
          <w:p w14:paraId="33333297" w14:textId="77777777" w:rsidR="004C78C0" w:rsidRPr="008D777B" w:rsidRDefault="004C78C0" w:rsidP="00654255">
            <w:pPr>
              <w:jc w:val="right"/>
              <w:rPr>
                <w:rFonts w:cstheme="minorHAnsi"/>
                <w:color w:val="000000"/>
                <w:sz w:val="16"/>
                <w:szCs w:val="16"/>
              </w:rPr>
            </w:pPr>
            <w:r w:rsidRPr="008D777B">
              <w:rPr>
                <w:color w:val="000000"/>
                <w:sz w:val="16"/>
              </w:rPr>
              <w:t>27,4</w:t>
            </w:r>
          </w:p>
        </w:tc>
        <w:tc>
          <w:tcPr>
            <w:tcW w:w="829" w:type="dxa"/>
            <w:tcBorders>
              <w:top w:val="nil"/>
              <w:left w:val="nil"/>
              <w:bottom w:val="single" w:sz="4" w:space="0" w:color="FFFFFF"/>
              <w:right w:val="single" w:sz="4" w:space="0" w:color="FFFFFF"/>
            </w:tcBorders>
            <w:shd w:val="clear" w:color="auto" w:fill="auto"/>
            <w:noWrap/>
            <w:vAlign w:val="bottom"/>
            <w:hideMark/>
          </w:tcPr>
          <w:p w14:paraId="4E2896D5"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062F4A44" w14:textId="77777777" w:rsidR="004C78C0" w:rsidRPr="008D777B" w:rsidRDefault="004C78C0" w:rsidP="00654255">
            <w:pPr>
              <w:jc w:val="right"/>
              <w:rPr>
                <w:rFonts w:cstheme="minorHAnsi"/>
                <w:color w:val="000000"/>
                <w:sz w:val="16"/>
                <w:szCs w:val="16"/>
              </w:rPr>
            </w:pPr>
            <w:r w:rsidRPr="008D777B">
              <w:rPr>
                <w:color w:val="000000"/>
                <w:sz w:val="16"/>
              </w:rPr>
              <w:t>406,7</w:t>
            </w:r>
          </w:p>
        </w:tc>
        <w:tc>
          <w:tcPr>
            <w:tcW w:w="854" w:type="dxa"/>
            <w:tcBorders>
              <w:top w:val="nil"/>
              <w:left w:val="nil"/>
              <w:bottom w:val="single" w:sz="4" w:space="0" w:color="FFFFFF"/>
              <w:right w:val="single" w:sz="4" w:space="0" w:color="FFFFFF"/>
            </w:tcBorders>
            <w:shd w:val="clear" w:color="auto" w:fill="auto"/>
            <w:noWrap/>
            <w:vAlign w:val="bottom"/>
            <w:hideMark/>
          </w:tcPr>
          <w:p w14:paraId="5F40C0DB" w14:textId="77777777" w:rsidR="004C78C0" w:rsidRPr="008D777B" w:rsidRDefault="004C78C0" w:rsidP="00654255">
            <w:pPr>
              <w:jc w:val="right"/>
              <w:rPr>
                <w:rFonts w:cstheme="minorHAnsi"/>
                <w:color w:val="000000"/>
                <w:sz w:val="16"/>
                <w:szCs w:val="16"/>
              </w:rPr>
            </w:pPr>
            <w:r w:rsidRPr="008D777B">
              <w:rPr>
                <w:color w:val="000000"/>
                <w:sz w:val="16"/>
              </w:rPr>
              <w:t>542,4</w:t>
            </w:r>
          </w:p>
        </w:tc>
        <w:tc>
          <w:tcPr>
            <w:tcW w:w="673" w:type="dxa"/>
            <w:tcBorders>
              <w:top w:val="nil"/>
              <w:left w:val="nil"/>
              <w:bottom w:val="single" w:sz="4" w:space="0" w:color="FFFFFF"/>
              <w:right w:val="nil"/>
            </w:tcBorders>
            <w:shd w:val="clear" w:color="auto" w:fill="auto"/>
            <w:noWrap/>
            <w:vAlign w:val="bottom"/>
            <w:hideMark/>
          </w:tcPr>
          <w:p w14:paraId="52338D90" w14:textId="77777777" w:rsidR="004C78C0" w:rsidRPr="008D777B" w:rsidRDefault="004C78C0" w:rsidP="00654255">
            <w:pPr>
              <w:jc w:val="right"/>
              <w:rPr>
                <w:rFonts w:cstheme="minorHAnsi"/>
                <w:color w:val="000000"/>
                <w:sz w:val="16"/>
                <w:szCs w:val="16"/>
              </w:rPr>
            </w:pPr>
            <w:r w:rsidRPr="008D777B">
              <w:rPr>
                <w:color w:val="000000"/>
                <w:sz w:val="16"/>
              </w:rPr>
              <w:t>33,4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ECABEC2" w14:textId="77777777" w:rsidR="004C78C0" w:rsidRPr="008D777B" w:rsidRDefault="004C78C0" w:rsidP="00654255">
            <w:pPr>
              <w:jc w:val="right"/>
              <w:rPr>
                <w:rFonts w:cstheme="minorHAnsi"/>
                <w:color w:val="000000"/>
                <w:sz w:val="16"/>
                <w:szCs w:val="16"/>
              </w:rPr>
            </w:pPr>
            <w:r w:rsidRPr="008D777B">
              <w:rPr>
                <w:color w:val="000000"/>
                <w:sz w:val="16"/>
              </w:rPr>
              <w:t>10,1</w:t>
            </w:r>
          </w:p>
        </w:tc>
      </w:tr>
      <w:tr w:rsidR="004C78C0" w:rsidRPr="008D777B" w14:paraId="1EF34C41"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A16E10E" w14:textId="77777777" w:rsidR="004C78C0" w:rsidRPr="008D777B" w:rsidRDefault="004C78C0" w:rsidP="00654255">
            <w:pPr>
              <w:rPr>
                <w:rFonts w:cstheme="minorHAnsi"/>
                <w:color w:val="000000"/>
                <w:sz w:val="16"/>
                <w:szCs w:val="16"/>
              </w:rPr>
            </w:pPr>
            <w:r w:rsidRPr="008D777B">
              <w:rPr>
                <w:color w:val="000000"/>
                <w:sz w:val="16"/>
              </w:rPr>
              <w:lastRenderedPageBreak/>
              <w:t>Brésil</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AC4A73B" w14:textId="77777777" w:rsidR="004C78C0" w:rsidRPr="008D777B" w:rsidRDefault="004C78C0" w:rsidP="00654255">
            <w:pPr>
              <w:jc w:val="right"/>
              <w:rPr>
                <w:rFonts w:cstheme="minorHAnsi"/>
                <w:color w:val="000000"/>
                <w:sz w:val="16"/>
                <w:szCs w:val="16"/>
              </w:rPr>
            </w:pPr>
            <w:r w:rsidRPr="008D777B">
              <w:rPr>
                <w:color w:val="000000"/>
                <w:sz w:val="16"/>
              </w:rPr>
              <w:t>0,3</w:t>
            </w:r>
          </w:p>
        </w:tc>
        <w:tc>
          <w:tcPr>
            <w:tcW w:w="990" w:type="dxa"/>
            <w:tcBorders>
              <w:top w:val="nil"/>
              <w:left w:val="nil"/>
              <w:bottom w:val="single" w:sz="4" w:space="0" w:color="FFFFFF"/>
              <w:right w:val="single" w:sz="4" w:space="0" w:color="FFFFFF"/>
            </w:tcBorders>
            <w:shd w:val="clear" w:color="auto" w:fill="auto"/>
            <w:vAlign w:val="bottom"/>
            <w:hideMark/>
          </w:tcPr>
          <w:p w14:paraId="155077C6" w14:textId="77777777" w:rsidR="004C78C0" w:rsidRPr="008D777B" w:rsidRDefault="004C78C0" w:rsidP="00654255">
            <w:pPr>
              <w:jc w:val="right"/>
              <w:rPr>
                <w:rFonts w:cstheme="minorHAnsi"/>
                <w:color w:val="000000"/>
                <w:sz w:val="16"/>
                <w:szCs w:val="16"/>
              </w:rPr>
            </w:pPr>
            <w:r w:rsidRPr="008D777B">
              <w:rPr>
                <w:color w:val="000000"/>
                <w:sz w:val="16"/>
              </w:rPr>
              <w:t>703,4</w:t>
            </w:r>
          </w:p>
        </w:tc>
        <w:tc>
          <w:tcPr>
            <w:tcW w:w="990" w:type="dxa"/>
            <w:tcBorders>
              <w:top w:val="nil"/>
              <w:left w:val="nil"/>
              <w:bottom w:val="single" w:sz="4" w:space="0" w:color="FFFFFF"/>
              <w:right w:val="single" w:sz="4" w:space="0" w:color="FFFFFF"/>
            </w:tcBorders>
            <w:shd w:val="clear" w:color="auto" w:fill="auto"/>
            <w:vAlign w:val="bottom"/>
            <w:hideMark/>
          </w:tcPr>
          <w:p w14:paraId="4B0FABA3" w14:textId="77777777" w:rsidR="004C78C0" w:rsidRPr="008D777B" w:rsidRDefault="004C78C0" w:rsidP="00654255">
            <w:pPr>
              <w:jc w:val="right"/>
              <w:rPr>
                <w:rFonts w:cstheme="minorHAnsi"/>
                <w:color w:val="000000"/>
                <w:sz w:val="16"/>
                <w:szCs w:val="16"/>
              </w:rPr>
            </w:pPr>
            <w:r w:rsidRPr="008D777B">
              <w:rPr>
                <w:color w:val="000000"/>
                <w:sz w:val="16"/>
              </w:rPr>
              <w:t>4.055,4</w:t>
            </w:r>
          </w:p>
        </w:tc>
        <w:tc>
          <w:tcPr>
            <w:tcW w:w="673" w:type="dxa"/>
            <w:tcBorders>
              <w:top w:val="nil"/>
              <w:left w:val="nil"/>
              <w:bottom w:val="single" w:sz="4" w:space="0" w:color="FFFFFF"/>
              <w:right w:val="single" w:sz="4" w:space="0" w:color="auto"/>
            </w:tcBorders>
            <w:shd w:val="clear" w:color="auto" w:fill="auto"/>
            <w:noWrap/>
            <w:vAlign w:val="bottom"/>
            <w:hideMark/>
          </w:tcPr>
          <w:p w14:paraId="33387BB6" w14:textId="77777777" w:rsidR="004C78C0" w:rsidRPr="008D777B" w:rsidRDefault="004C78C0" w:rsidP="00654255">
            <w:pPr>
              <w:jc w:val="right"/>
              <w:rPr>
                <w:rFonts w:cstheme="minorHAnsi"/>
                <w:color w:val="000000"/>
                <w:sz w:val="16"/>
                <w:szCs w:val="16"/>
              </w:rPr>
            </w:pPr>
            <w:r w:rsidRPr="008D777B">
              <w:rPr>
                <w:color w:val="000000"/>
                <w:sz w:val="16"/>
              </w:rPr>
              <w:t>476,6</w:t>
            </w:r>
          </w:p>
        </w:tc>
        <w:tc>
          <w:tcPr>
            <w:tcW w:w="829" w:type="dxa"/>
            <w:tcBorders>
              <w:top w:val="nil"/>
              <w:left w:val="nil"/>
              <w:bottom w:val="single" w:sz="4" w:space="0" w:color="FFFFFF"/>
              <w:right w:val="single" w:sz="4" w:space="0" w:color="FFFFFF"/>
            </w:tcBorders>
            <w:shd w:val="clear" w:color="auto" w:fill="auto"/>
            <w:noWrap/>
            <w:vAlign w:val="bottom"/>
            <w:hideMark/>
          </w:tcPr>
          <w:p w14:paraId="18EEB363"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FFFFFF"/>
              <w:right w:val="single" w:sz="4" w:space="0" w:color="FFFFFF"/>
            </w:tcBorders>
            <w:shd w:val="clear" w:color="auto" w:fill="auto"/>
            <w:noWrap/>
            <w:vAlign w:val="bottom"/>
            <w:hideMark/>
          </w:tcPr>
          <w:p w14:paraId="18648E45" w14:textId="77777777" w:rsidR="004C78C0" w:rsidRPr="008D777B" w:rsidRDefault="004C78C0" w:rsidP="00654255">
            <w:pPr>
              <w:jc w:val="right"/>
              <w:rPr>
                <w:rFonts w:cstheme="minorHAnsi"/>
                <w:color w:val="000000"/>
                <w:sz w:val="16"/>
                <w:szCs w:val="16"/>
              </w:rPr>
            </w:pPr>
            <w:r w:rsidRPr="008D777B">
              <w:rPr>
                <w:color w:val="000000"/>
                <w:sz w:val="16"/>
              </w:rPr>
              <w:t>3.750,4</w:t>
            </w:r>
          </w:p>
        </w:tc>
        <w:tc>
          <w:tcPr>
            <w:tcW w:w="854" w:type="dxa"/>
            <w:tcBorders>
              <w:top w:val="nil"/>
              <w:left w:val="nil"/>
              <w:bottom w:val="single" w:sz="4" w:space="0" w:color="FFFFFF"/>
              <w:right w:val="single" w:sz="4" w:space="0" w:color="FFFFFF"/>
            </w:tcBorders>
            <w:shd w:val="clear" w:color="auto" w:fill="auto"/>
            <w:noWrap/>
            <w:vAlign w:val="bottom"/>
            <w:hideMark/>
          </w:tcPr>
          <w:p w14:paraId="64B2B479" w14:textId="77777777" w:rsidR="004C78C0" w:rsidRPr="008D777B" w:rsidRDefault="004C78C0" w:rsidP="00654255">
            <w:pPr>
              <w:jc w:val="right"/>
              <w:rPr>
                <w:rFonts w:cstheme="minorHAnsi"/>
                <w:color w:val="000000"/>
                <w:sz w:val="16"/>
                <w:szCs w:val="16"/>
              </w:rPr>
            </w:pPr>
            <w:r w:rsidRPr="008D777B">
              <w:rPr>
                <w:color w:val="000000"/>
                <w:sz w:val="16"/>
              </w:rPr>
              <w:t>517,5</w:t>
            </w:r>
          </w:p>
        </w:tc>
        <w:tc>
          <w:tcPr>
            <w:tcW w:w="673" w:type="dxa"/>
            <w:tcBorders>
              <w:top w:val="nil"/>
              <w:left w:val="nil"/>
              <w:bottom w:val="single" w:sz="4" w:space="0" w:color="FFFFFF"/>
              <w:right w:val="nil"/>
            </w:tcBorders>
            <w:shd w:val="clear" w:color="auto" w:fill="auto"/>
            <w:noWrap/>
            <w:vAlign w:val="bottom"/>
            <w:hideMark/>
          </w:tcPr>
          <w:p w14:paraId="36C263C5" w14:textId="77777777" w:rsidR="004C78C0" w:rsidRPr="008D777B" w:rsidRDefault="004C78C0" w:rsidP="00654255">
            <w:pPr>
              <w:jc w:val="right"/>
              <w:rPr>
                <w:rFonts w:cstheme="minorHAnsi"/>
                <w:color w:val="000000"/>
                <w:sz w:val="16"/>
                <w:szCs w:val="16"/>
              </w:rPr>
            </w:pPr>
            <w:r w:rsidRPr="008D777B">
              <w:rPr>
                <w:color w:val="000000"/>
                <w:sz w:val="16"/>
              </w:rPr>
              <w:t>-86,2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A7A3FED" w14:textId="77777777" w:rsidR="004C78C0" w:rsidRPr="008D777B" w:rsidRDefault="004C78C0" w:rsidP="00654255">
            <w:pPr>
              <w:jc w:val="right"/>
              <w:rPr>
                <w:rFonts w:cstheme="minorHAnsi"/>
                <w:color w:val="000000"/>
                <w:sz w:val="16"/>
                <w:szCs w:val="16"/>
              </w:rPr>
            </w:pPr>
            <w:r w:rsidRPr="008D777B">
              <w:rPr>
                <w:color w:val="000000"/>
                <w:sz w:val="16"/>
              </w:rPr>
              <w:t>12,8</w:t>
            </w:r>
          </w:p>
        </w:tc>
      </w:tr>
      <w:tr w:rsidR="004C78C0" w:rsidRPr="008D777B" w14:paraId="63430D26"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6C11554" w14:textId="77777777" w:rsidR="004C78C0" w:rsidRPr="008D777B" w:rsidRDefault="004C78C0" w:rsidP="00654255">
            <w:pPr>
              <w:rPr>
                <w:rFonts w:cstheme="minorHAnsi"/>
                <w:color w:val="000000"/>
                <w:sz w:val="16"/>
                <w:szCs w:val="16"/>
              </w:rPr>
            </w:pPr>
            <w:r w:rsidRPr="008D777B">
              <w:rPr>
                <w:color w:val="000000"/>
                <w:sz w:val="16"/>
              </w:rPr>
              <w:t>Ghana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85C2EC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37C4EE8"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990" w:type="dxa"/>
            <w:tcBorders>
              <w:top w:val="nil"/>
              <w:left w:val="nil"/>
              <w:bottom w:val="single" w:sz="4" w:space="0" w:color="FFFFFF"/>
              <w:right w:val="single" w:sz="4" w:space="0" w:color="FFFFFF"/>
            </w:tcBorders>
            <w:shd w:val="clear" w:color="auto" w:fill="auto"/>
            <w:vAlign w:val="bottom"/>
            <w:hideMark/>
          </w:tcPr>
          <w:p w14:paraId="42EBEB5B" w14:textId="77777777" w:rsidR="004C78C0" w:rsidRPr="008D777B" w:rsidRDefault="004C78C0" w:rsidP="00654255">
            <w:pPr>
              <w:jc w:val="right"/>
              <w:rPr>
                <w:rFonts w:cstheme="minorHAnsi"/>
                <w:color w:val="000000"/>
                <w:sz w:val="16"/>
                <w:szCs w:val="16"/>
              </w:rPr>
            </w:pPr>
            <w:r w:rsidRPr="008D777B">
              <w:rPr>
                <w:color w:val="000000"/>
                <w:sz w:val="16"/>
              </w:rPr>
              <w:t>2,9</w:t>
            </w:r>
          </w:p>
        </w:tc>
        <w:tc>
          <w:tcPr>
            <w:tcW w:w="673" w:type="dxa"/>
            <w:tcBorders>
              <w:top w:val="nil"/>
              <w:left w:val="nil"/>
              <w:bottom w:val="single" w:sz="4" w:space="0" w:color="FFFFFF"/>
              <w:right w:val="single" w:sz="4" w:space="0" w:color="auto"/>
            </w:tcBorders>
            <w:shd w:val="clear" w:color="auto" w:fill="auto"/>
            <w:noWrap/>
            <w:vAlign w:val="bottom"/>
            <w:hideMark/>
          </w:tcPr>
          <w:p w14:paraId="6FB0CA10" w14:textId="77777777" w:rsidR="004C78C0" w:rsidRPr="008D777B" w:rsidRDefault="004C78C0" w:rsidP="00654255">
            <w:pPr>
              <w:jc w:val="right"/>
              <w:rPr>
                <w:rFonts w:cstheme="minorHAnsi"/>
                <w:color w:val="000000"/>
                <w:sz w:val="16"/>
                <w:szCs w:val="16"/>
              </w:rPr>
            </w:pPr>
            <w:r w:rsidRPr="008D777B">
              <w:rPr>
                <w:color w:val="000000"/>
                <w:sz w:val="16"/>
              </w:rPr>
              <w:t>1.590,2</w:t>
            </w:r>
          </w:p>
        </w:tc>
        <w:tc>
          <w:tcPr>
            <w:tcW w:w="829" w:type="dxa"/>
            <w:tcBorders>
              <w:top w:val="nil"/>
              <w:left w:val="nil"/>
              <w:bottom w:val="single" w:sz="4" w:space="0" w:color="FFFFFF"/>
              <w:right w:val="single" w:sz="4" w:space="0" w:color="FFFFFF"/>
            </w:tcBorders>
            <w:shd w:val="clear" w:color="auto" w:fill="auto"/>
            <w:noWrap/>
            <w:vAlign w:val="bottom"/>
            <w:hideMark/>
          </w:tcPr>
          <w:p w14:paraId="6C44B70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32D907C" w14:textId="77777777" w:rsidR="004C78C0" w:rsidRPr="008D777B" w:rsidRDefault="004C78C0" w:rsidP="00654255">
            <w:pPr>
              <w:jc w:val="right"/>
              <w:rPr>
                <w:rFonts w:cstheme="minorHAnsi"/>
                <w:color w:val="000000"/>
                <w:sz w:val="16"/>
                <w:szCs w:val="16"/>
              </w:rPr>
            </w:pPr>
            <w:r w:rsidRPr="008D777B">
              <w:rPr>
                <w:color w:val="000000"/>
                <w:sz w:val="16"/>
              </w:rPr>
              <w:t>533,5</w:t>
            </w:r>
          </w:p>
        </w:tc>
        <w:tc>
          <w:tcPr>
            <w:tcW w:w="854" w:type="dxa"/>
            <w:tcBorders>
              <w:top w:val="nil"/>
              <w:left w:val="nil"/>
              <w:bottom w:val="single" w:sz="4" w:space="0" w:color="FFFFFF"/>
              <w:right w:val="single" w:sz="4" w:space="0" w:color="FFFFFF"/>
            </w:tcBorders>
            <w:shd w:val="clear" w:color="auto" w:fill="auto"/>
            <w:noWrap/>
            <w:vAlign w:val="bottom"/>
            <w:hideMark/>
          </w:tcPr>
          <w:p w14:paraId="260CA6E9" w14:textId="77777777" w:rsidR="004C78C0" w:rsidRPr="008D777B" w:rsidRDefault="004C78C0" w:rsidP="00654255">
            <w:pPr>
              <w:jc w:val="right"/>
              <w:rPr>
                <w:rFonts w:cstheme="minorHAnsi"/>
                <w:color w:val="000000"/>
                <w:sz w:val="16"/>
                <w:szCs w:val="16"/>
              </w:rPr>
            </w:pPr>
            <w:r w:rsidRPr="008D777B">
              <w:rPr>
                <w:color w:val="000000"/>
                <w:sz w:val="16"/>
              </w:rPr>
              <w:t>430,0</w:t>
            </w:r>
          </w:p>
        </w:tc>
        <w:tc>
          <w:tcPr>
            <w:tcW w:w="673" w:type="dxa"/>
            <w:tcBorders>
              <w:top w:val="nil"/>
              <w:left w:val="nil"/>
              <w:bottom w:val="single" w:sz="4" w:space="0" w:color="FFFFFF"/>
              <w:right w:val="nil"/>
            </w:tcBorders>
            <w:shd w:val="clear" w:color="auto" w:fill="auto"/>
            <w:noWrap/>
            <w:vAlign w:val="bottom"/>
            <w:hideMark/>
          </w:tcPr>
          <w:p w14:paraId="4E6C0585" w14:textId="77777777" w:rsidR="004C78C0" w:rsidRPr="008D777B" w:rsidRDefault="004C78C0" w:rsidP="00654255">
            <w:pPr>
              <w:jc w:val="right"/>
              <w:rPr>
                <w:rFonts w:cstheme="minorHAnsi"/>
                <w:color w:val="000000"/>
                <w:sz w:val="16"/>
                <w:szCs w:val="16"/>
              </w:rPr>
            </w:pPr>
            <w:r w:rsidRPr="008D777B">
              <w:rPr>
                <w:color w:val="000000"/>
                <w:sz w:val="16"/>
              </w:rPr>
              <w:t>-19,4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11CA718" w14:textId="77777777" w:rsidR="004C78C0" w:rsidRPr="008D777B" w:rsidRDefault="004C78C0" w:rsidP="00654255">
            <w:pPr>
              <w:jc w:val="right"/>
              <w:rPr>
                <w:rFonts w:cstheme="minorHAnsi"/>
                <w:color w:val="000000"/>
                <w:sz w:val="16"/>
                <w:szCs w:val="16"/>
              </w:rPr>
            </w:pPr>
            <w:r w:rsidRPr="008D777B">
              <w:rPr>
                <w:color w:val="000000"/>
                <w:sz w:val="16"/>
              </w:rPr>
              <w:t>14.622,3</w:t>
            </w:r>
          </w:p>
        </w:tc>
      </w:tr>
      <w:tr w:rsidR="004C78C0" w:rsidRPr="008D777B" w14:paraId="2BEDA3C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E5C44F2" w14:textId="77777777" w:rsidR="004C78C0" w:rsidRPr="008D777B" w:rsidRDefault="004C78C0" w:rsidP="00654255">
            <w:pPr>
              <w:rPr>
                <w:rFonts w:cstheme="minorHAnsi"/>
                <w:color w:val="000000"/>
                <w:sz w:val="16"/>
                <w:szCs w:val="16"/>
              </w:rPr>
            </w:pPr>
            <w:r w:rsidRPr="008D777B">
              <w:rPr>
                <w:color w:val="000000"/>
                <w:sz w:val="16"/>
              </w:rPr>
              <w:t>Guinée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4CDBF1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428EAF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0CBBBA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02EA19E3"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69EFB96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CA7CCFB" w14:textId="77777777" w:rsidR="004C78C0" w:rsidRPr="008D777B" w:rsidRDefault="004C78C0" w:rsidP="00654255">
            <w:pPr>
              <w:jc w:val="right"/>
              <w:rPr>
                <w:rFonts w:cstheme="minorHAnsi"/>
                <w:color w:val="000000"/>
                <w:sz w:val="16"/>
                <w:szCs w:val="16"/>
              </w:rPr>
            </w:pPr>
            <w:r w:rsidRPr="008D777B">
              <w:rPr>
                <w:color w:val="000000"/>
                <w:sz w:val="16"/>
              </w:rPr>
              <w:t>332,2</w:t>
            </w:r>
          </w:p>
        </w:tc>
        <w:tc>
          <w:tcPr>
            <w:tcW w:w="854" w:type="dxa"/>
            <w:tcBorders>
              <w:top w:val="nil"/>
              <w:left w:val="nil"/>
              <w:bottom w:val="single" w:sz="4" w:space="0" w:color="FFFFFF"/>
              <w:right w:val="single" w:sz="4" w:space="0" w:color="FFFFFF"/>
            </w:tcBorders>
            <w:shd w:val="clear" w:color="auto" w:fill="auto"/>
            <w:noWrap/>
            <w:vAlign w:val="bottom"/>
            <w:hideMark/>
          </w:tcPr>
          <w:p w14:paraId="3C6F84A3" w14:textId="77777777" w:rsidR="004C78C0" w:rsidRPr="008D777B" w:rsidRDefault="004C78C0" w:rsidP="00654255">
            <w:pPr>
              <w:jc w:val="right"/>
              <w:rPr>
                <w:rFonts w:cstheme="minorHAnsi"/>
                <w:color w:val="000000"/>
                <w:sz w:val="16"/>
                <w:szCs w:val="16"/>
              </w:rPr>
            </w:pPr>
            <w:r w:rsidRPr="008D777B">
              <w:rPr>
                <w:color w:val="000000"/>
                <w:sz w:val="16"/>
              </w:rPr>
              <w:t>423,7</w:t>
            </w:r>
          </w:p>
        </w:tc>
        <w:tc>
          <w:tcPr>
            <w:tcW w:w="673" w:type="dxa"/>
            <w:tcBorders>
              <w:top w:val="nil"/>
              <w:left w:val="nil"/>
              <w:bottom w:val="single" w:sz="4" w:space="0" w:color="FFFFFF"/>
              <w:right w:val="nil"/>
            </w:tcBorders>
            <w:shd w:val="clear" w:color="auto" w:fill="auto"/>
            <w:noWrap/>
            <w:vAlign w:val="bottom"/>
            <w:hideMark/>
          </w:tcPr>
          <w:p w14:paraId="1D4037AF" w14:textId="77777777" w:rsidR="004C78C0" w:rsidRPr="008D777B" w:rsidRDefault="004C78C0" w:rsidP="00654255">
            <w:pPr>
              <w:jc w:val="right"/>
              <w:rPr>
                <w:rFonts w:cstheme="minorHAnsi"/>
                <w:color w:val="000000"/>
                <w:sz w:val="16"/>
                <w:szCs w:val="16"/>
              </w:rPr>
            </w:pPr>
            <w:r w:rsidRPr="008D777B">
              <w:rPr>
                <w:color w:val="000000"/>
                <w:sz w:val="16"/>
              </w:rPr>
              <w:t>27,6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3A4FF94" w14:textId="77777777" w:rsidR="004C78C0" w:rsidRPr="008D777B" w:rsidRDefault="004C78C0" w:rsidP="00654255">
            <w:pPr>
              <w:jc w:val="right"/>
              <w:rPr>
                <w:rFonts w:cstheme="minorHAnsi"/>
                <w:color w:val="000000"/>
                <w:sz w:val="16"/>
                <w:szCs w:val="16"/>
              </w:rPr>
            </w:pPr>
            <w:r w:rsidRPr="008D777B">
              <w:rPr>
                <w:color w:val="000000"/>
                <w:sz w:val="16"/>
              </w:rPr>
              <w:t>14.124.200,0</w:t>
            </w:r>
          </w:p>
        </w:tc>
      </w:tr>
      <w:tr w:rsidR="004C78C0" w:rsidRPr="008D777B" w14:paraId="04240C1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6B139BF" w14:textId="77777777" w:rsidR="004C78C0" w:rsidRPr="008D777B" w:rsidRDefault="004C78C0" w:rsidP="00654255">
            <w:pPr>
              <w:rPr>
                <w:rFonts w:cstheme="minorHAnsi"/>
                <w:color w:val="000000"/>
                <w:sz w:val="16"/>
                <w:szCs w:val="16"/>
              </w:rPr>
            </w:pPr>
            <w:r w:rsidRPr="008D777B">
              <w:rPr>
                <w:color w:val="000000"/>
                <w:sz w:val="16"/>
              </w:rPr>
              <w:t>Géorgie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8014B8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4BB262E"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AB465A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25ACF204"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76CD535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E02891E" w14:textId="77777777" w:rsidR="004C78C0" w:rsidRPr="008D777B" w:rsidRDefault="004C78C0" w:rsidP="00654255">
            <w:pPr>
              <w:jc w:val="right"/>
              <w:rPr>
                <w:rFonts w:cstheme="minorHAnsi"/>
                <w:color w:val="000000"/>
                <w:sz w:val="16"/>
                <w:szCs w:val="16"/>
              </w:rPr>
            </w:pPr>
            <w:r w:rsidRPr="008D777B">
              <w:rPr>
                <w:color w:val="000000"/>
                <w:sz w:val="16"/>
              </w:rPr>
              <w:t>120,5</w:t>
            </w:r>
          </w:p>
        </w:tc>
        <w:tc>
          <w:tcPr>
            <w:tcW w:w="854" w:type="dxa"/>
            <w:tcBorders>
              <w:top w:val="nil"/>
              <w:left w:val="nil"/>
              <w:bottom w:val="single" w:sz="4" w:space="0" w:color="FFFFFF"/>
              <w:right w:val="single" w:sz="4" w:space="0" w:color="FFFFFF"/>
            </w:tcBorders>
            <w:shd w:val="clear" w:color="auto" w:fill="auto"/>
            <w:noWrap/>
            <w:vAlign w:val="bottom"/>
            <w:hideMark/>
          </w:tcPr>
          <w:p w14:paraId="02532862" w14:textId="77777777" w:rsidR="004C78C0" w:rsidRPr="008D777B" w:rsidRDefault="004C78C0" w:rsidP="00654255">
            <w:pPr>
              <w:jc w:val="right"/>
              <w:rPr>
                <w:rFonts w:cstheme="minorHAnsi"/>
                <w:color w:val="000000"/>
                <w:sz w:val="16"/>
                <w:szCs w:val="16"/>
              </w:rPr>
            </w:pPr>
            <w:r w:rsidRPr="008D777B">
              <w:rPr>
                <w:color w:val="000000"/>
                <w:sz w:val="16"/>
              </w:rPr>
              <w:t>349,1</w:t>
            </w:r>
          </w:p>
        </w:tc>
        <w:tc>
          <w:tcPr>
            <w:tcW w:w="673" w:type="dxa"/>
            <w:tcBorders>
              <w:top w:val="nil"/>
              <w:left w:val="nil"/>
              <w:bottom w:val="single" w:sz="4" w:space="0" w:color="FFFFFF"/>
              <w:right w:val="nil"/>
            </w:tcBorders>
            <w:shd w:val="clear" w:color="auto" w:fill="auto"/>
            <w:noWrap/>
            <w:vAlign w:val="bottom"/>
            <w:hideMark/>
          </w:tcPr>
          <w:p w14:paraId="4B40DAF8" w14:textId="77777777" w:rsidR="004C78C0" w:rsidRPr="008D777B" w:rsidRDefault="004C78C0" w:rsidP="00654255">
            <w:pPr>
              <w:jc w:val="right"/>
              <w:rPr>
                <w:rFonts w:cstheme="minorHAnsi"/>
                <w:color w:val="000000"/>
                <w:sz w:val="16"/>
                <w:szCs w:val="16"/>
              </w:rPr>
            </w:pPr>
            <w:r w:rsidRPr="008D777B">
              <w:rPr>
                <w:color w:val="000000"/>
                <w:sz w:val="16"/>
              </w:rPr>
              <w:t>189,7</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21D2BBF"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4D75F222"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5F08FB1" w14:textId="77777777" w:rsidR="004C78C0" w:rsidRPr="008D777B" w:rsidRDefault="004C78C0" w:rsidP="00654255">
            <w:pPr>
              <w:rPr>
                <w:rFonts w:cstheme="minorHAnsi"/>
                <w:color w:val="000000"/>
                <w:sz w:val="16"/>
                <w:szCs w:val="16"/>
              </w:rPr>
            </w:pPr>
            <w:r w:rsidRPr="008D777B">
              <w:rPr>
                <w:color w:val="000000"/>
                <w:sz w:val="16"/>
              </w:rPr>
              <w:t>Indonésie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8C56221" w14:textId="77777777" w:rsidR="004C78C0" w:rsidRPr="008D777B" w:rsidRDefault="004C78C0" w:rsidP="00654255">
            <w:pPr>
              <w:jc w:val="right"/>
              <w:rPr>
                <w:rFonts w:cstheme="minorHAnsi"/>
                <w:color w:val="000000"/>
                <w:sz w:val="16"/>
                <w:szCs w:val="16"/>
              </w:rPr>
            </w:pPr>
            <w:r w:rsidRPr="008D777B">
              <w:rPr>
                <w:color w:val="000000"/>
                <w:sz w:val="16"/>
              </w:rPr>
              <w:t>4,5</w:t>
            </w:r>
          </w:p>
        </w:tc>
        <w:tc>
          <w:tcPr>
            <w:tcW w:w="990" w:type="dxa"/>
            <w:tcBorders>
              <w:top w:val="nil"/>
              <w:left w:val="nil"/>
              <w:bottom w:val="single" w:sz="4" w:space="0" w:color="FFFFFF"/>
              <w:right w:val="single" w:sz="4" w:space="0" w:color="FFFFFF"/>
            </w:tcBorders>
            <w:shd w:val="clear" w:color="auto" w:fill="auto"/>
            <w:vAlign w:val="bottom"/>
            <w:hideMark/>
          </w:tcPr>
          <w:p w14:paraId="375243F6" w14:textId="77777777" w:rsidR="004C78C0" w:rsidRPr="008D777B" w:rsidRDefault="004C78C0" w:rsidP="00654255">
            <w:pPr>
              <w:jc w:val="right"/>
              <w:rPr>
                <w:rFonts w:cstheme="minorHAnsi"/>
                <w:color w:val="000000"/>
                <w:sz w:val="16"/>
                <w:szCs w:val="16"/>
              </w:rPr>
            </w:pPr>
            <w:r w:rsidRPr="008D777B">
              <w:rPr>
                <w:color w:val="000000"/>
                <w:sz w:val="16"/>
              </w:rPr>
              <w:t>44.124,0</w:t>
            </w:r>
          </w:p>
        </w:tc>
        <w:tc>
          <w:tcPr>
            <w:tcW w:w="990" w:type="dxa"/>
            <w:tcBorders>
              <w:top w:val="nil"/>
              <w:left w:val="nil"/>
              <w:bottom w:val="single" w:sz="4" w:space="0" w:color="FFFFFF"/>
              <w:right w:val="single" w:sz="4" w:space="0" w:color="FFFFFF"/>
            </w:tcBorders>
            <w:shd w:val="clear" w:color="auto" w:fill="auto"/>
            <w:vAlign w:val="bottom"/>
            <w:hideMark/>
          </w:tcPr>
          <w:p w14:paraId="6A060224" w14:textId="77777777" w:rsidR="004C78C0" w:rsidRPr="008D777B" w:rsidRDefault="004C78C0" w:rsidP="00654255">
            <w:pPr>
              <w:jc w:val="right"/>
              <w:rPr>
                <w:rFonts w:cstheme="minorHAnsi"/>
                <w:color w:val="000000"/>
                <w:sz w:val="16"/>
                <w:szCs w:val="16"/>
              </w:rPr>
            </w:pPr>
            <w:r w:rsidRPr="008D777B">
              <w:rPr>
                <w:color w:val="000000"/>
                <w:sz w:val="16"/>
              </w:rPr>
              <w:t>66.695,0</w:t>
            </w:r>
          </w:p>
        </w:tc>
        <w:tc>
          <w:tcPr>
            <w:tcW w:w="673" w:type="dxa"/>
            <w:tcBorders>
              <w:top w:val="nil"/>
              <w:left w:val="nil"/>
              <w:bottom w:val="single" w:sz="4" w:space="0" w:color="FFFFFF"/>
              <w:right w:val="single" w:sz="4" w:space="0" w:color="auto"/>
            </w:tcBorders>
            <w:shd w:val="clear" w:color="auto" w:fill="auto"/>
            <w:noWrap/>
            <w:vAlign w:val="bottom"/>
            <w:hideMark/>
          </w:tcPr>
          <w:p w14:paraId="038D0DC0" w14:textId="77777777" w:rsidR="004C78C0" w:rsidRPr="008D777B" w:rsidRDefault="004C78C0" w:rsidP="00654255">
            <w:pPr>
              <w:jc w:val="right"/>
              <w:rPr>
                <w:rFonts w:cstheme="minorHAnsi"/>
                <w:color w:val="000000"/>
                <w:sz w:val="16"/>
                <w:szCs w:val="16"/>
              </w:rPr>
            </w:pPr>
            <w:r w:rsidRPr="008D777B">
              <w:rPr>
                <w:color w:val="000000"/>
                <w:sz w:val="16"/>
              </w:rPr>
              <w:t>51,2</w:t>
            </w:r>
          </w:p>
        </w:tc>
        <w:tc>
          <w:tcPr>
            <w:tcW w:w="829" w:type="dxa"/>
            <w:tcBorders>
              <w:top w:val="nil"/>
              <w:left w:val="nil"/>
              <w:bottom w:val="single" w:sz="4" w:space="0" w:color="FFFFFF"/>
              <w:right w:val="single" w:sz="4" w:space="0" w:color="FFFFFF"/>
            </w:tcBorders>
            <w:shd w:val="clear" w:color="auto" w:fill="auto"/>
            <w:noWrap/>
            <w:vAlign w:val="bottom"/>
            <w:hideMark/>
          </w:tcPr>
          <w:p w14:paraId="55553D1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21579FD" w14:textId="77777777" w:rsidR="004C78C0" w:rsidRPr="008D777B" w:rsidRDefault="004C78C0" w:rsidP="00654255">
            <w:pPr>
              <w:jc w:val="right"/>
              <w:rPr>
                <w:rFonts w:cstheme="minorHAnsi"/>
                <w:color w:val="000000"/>
                <w:sz w:val="16"/>
                <w:szCs w:val="16"/>
              </w:rPr>
            </w:pPr>
            <w:r w:rsidRPr="008D777B">
              <w:rPr>
                <w:color w:val="000000"/>
                <w:sz w:val="16"/>
              </w:rPr>
              <w:t>238,7</w:t>
            </w:r>
          </w:p>
        </w:tc>
        <w:tc>
          <w:tcPr>
            <w:tcW w:w="854" w:type="dxa"/>
            <w:tcBorders>
              <w:top w:val="nil"/>
              <w:left w:val="nil"/>
              <w:bottom w:val="single" w:sz="4" w:space="0" w:color="FFFFFF"/>
              <w:right w:val="single" w:sz="4" w:space="0" w:color="FFFFFF"/>
            </w:tcBorders>
            <w:shd w:val="clear" w:color="auto" w:fill="auto"/>
            <w:noWrap/>
            <w:vAlign w:val="bottom"/>
            <w:hideMark/>
          </w:tcPr>
          <w:p w14:paraId="4CF5C88F" w14:textId="77777777" w:rsidR="004C78C0" w:rsidRPr="008D777B" w:rsidRDefault="004C78C0" w:rsidP="00654255">
            <w:pPr>
              <w:jc w:val="right"/>
              <w:rPr>
                <w:rFonts w:cstheme="minorHAnsi"/>
                <w:color w:val="000000"/>
                <w:sz w:val="16"/>
                <w:szCs w:val="16"/>
              </w:rPr>
            </w:pPr>
            <w:r w:rsidRPr="008D777B">
              <w:rPr>
                <w:color w:val="000000"/>
                <w:sz w:val="16"/>
              </w:rPr>
              <w:t>291,8</w:t>
            </w:r>
          </w:p>
        </w:tc>
        <w:tc>
          <w:tcPr>
            <w:tcW w:w="673" w:type="dxa"/>
            <w:tcBorders>
              <w:top w:val="nil"/>
              <w:left w:val="nil"/>
              <w:bottom w:val="single" w:sz="4" w:space="0" w:color="FFFFFF"/>
              <w:right w:val="nil"/>
            </w:tcBorders>
            <w:shd w:val="clear" w:color="auto" w:fill="auto"/>
            <w:noWrap/>
            <w:vAlign w:val="bottom"/>
            <w:hideMark/>
          </w:tcPr>
          <w:p w14:paraId="0C1BF423" w14:textId="77777777" w:rsidR="004C78C0" w:rsidRPr="008D777B" w:rsidRDefault="004C78C0" w:rsidP="00654255">
            <w:pPr>
              <w:jc w:val="right"/>
              <w:rPr>
                <w:rFonts w:cstheme="minorHAnsi"/>
                <w:color w:val="000000"/>
                <w:sz w:val="16"/>
                <w:szCs w:val="16"/>
              </w:rPr>
            </w:pPr>
            <w:r w:rsidRPr="008D777B">
              <w:rPr>
                <w:color w:val="000000"/>
                <w:sz w:val="16"/>
              </w:rPr>
              <w:t>22,2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771A28E" w14:textId="77777777" w:rsidR="004C78C0" w:rsidRPr="008D777B" w:rsidRDefault="004C78C0" w:rsidP="00654255">
            <w:pPr>
              <w:jc w:val="right"/>
              <w:rPr>
                <w:rFonts w:cstheme="minorHAnsi"/>
                <w:color w:val="000000"/>
                <w:sz w:val="16"/>
                <w:szCs w:val="16"/>
              </w:rPr>
            </w:pPr>
            <w:r w:rsidRPr="008D777B">
              <w:rPr>
                <w:color w:val="000000"/>
                <w:sz w:val="16"/>
              </w:rPr>
              <w:t>0,4</w:t>
            </w:r>
          </w:p>
        </w:tc>
      </w:tr>
      <w:tr w:rsidR="004C78C0" w:rsidRPr="008D777B" w14:paraId="5D9D9DDF"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0D6E64E" w14:textId="77777777" w:rsidR="004C78C0" w:rsidRPr="008D777B" w:rsidRDefault="004C78C0" w:rsidP="00654255">
            <w:pPr>
              <w:rPr>
                <w:rFonts w:cstheme="minorHAnsi"/>
                <w:color w:val="000000"/>
                <w:sz w:val="16"/>
                <w:szCs w:val="16"/>
              </w:rPr>
            </w:pPr>
            <w:r w:rsidRPr="008D777B">
              <w:rPr>
                <w:color w:val="000000"/>
                <w:sz w:val="16"/>
              </w:rPr>
              <w:t>Qatar</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F4E240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3C8739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C071BE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37C75C84"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763512E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6D226D9F" w14:textId="77777777" w:rsidR="004C78C0" w:rsidRPr="008D777B" w:rsidRDefault="004C78C0" w:rsidP="00654255">
            <w:pPr>
              <w:jc w:val="right"/>
              <w:rPr>
                <w:rFonts w:cstheme="minorHAnsi"/>
                <w:color w:val="000000"/>
                <w:sz w:val="16"/>
                <w:szCs w:val="16"/>
              </w:rPr>
            </w:pPr>
            <w:r w:rsidRPr="008D777B">
              <w:rPr>
                <w:color w:val="000000"/>
                <w:sz w:val="16"/>
              </w:rPr>
              <w:t>688,7</w:t>
            </w:r>
          </w:p>
        </w:tc>
        <w:tc>
          <w:tcPr>
            <w:tcW w:w="854" w:type="dxa"/>
            <w:tcBorders>
              <w:top w:val="nil"/>
              <w:left w:val="nil"/>
              <w:bottom w:val="single" w:sz="4" w:space="0" w:color="FFFFFF"/>
              <w:right w:val="single" w:sz="4" w:space="0" w:color="FFFFFF"/>
            </w:tcBorders>
            <w:shd w:val="clear" w:color="auto" w:fill="auto"/>
            <w:noWrap/>
            <w:vAlign w:val="bottom"/>
            <w:hideMark/>
          </w:tcPr>
          <w:p w14:paraId="5CD460F9" w14:textId="77777777" w:rsidR="004C78C0" w:rsidRPr="008D777B" w:rsidRDefault="004C78C0" w:rsidP="00654255">
            <w:pPr>
              <w:jc w:val="right"/>
              <w:rPr>
                <w:rFonts w:cstheme="minorHAnsi"/>
                <w:color w:val="000000"/>
                <w:sz w:val="16"/>
                <w:szCs w:val="16"/>
              </w:rPr>
            </w:pPr>
            <w:r w:rsidRPr="008D777B">
              <w:rPr>
                <w:color w:val="000000"/>
                <w:sz w:val="16"/>
              </w:rPr>
              <w:t>288,5</w:t>
            </w:r>
          </w:p>
        </w:tc>
        <w:tc>
          <w:tcPr>
            <w:tcW w:w="673" w:type="dxa"/>
            <w:tcBorders>
              <w:top w:val="nil"/>
              <w:left w:val="nil"/>
              <w:bottom w:val="single" w:sz="4" w:space="0" w:color="FFFFFF"/>
              <w:right w:val="nil"/>
            </w:tcBorders>
            <w:shd w:val="clear" w:color="auto" w:fill="auto"/>
            <w:noWrap/>
            <w:vAlign w:val="bottom"/>
            <w:hideMark/>
          </w:tcPr>
          <w:p w14:paraId="5A99262B" w14:textId="77777777" w:rsidR="004C78C0" w:rsidRPr="008D777B" w:rsidRDefault="004C78C0" w:rsidP="00654255">
            <w:pPr>
              <w:jc w:val="right"/>
              <w:rPr>
                <w:rFonts w:cstheme="minorHAnsi"/>
                <w:color w:val="000000"/>
                <w:sz w:val="16"/>
                <w:szCs w:val="16"/>
              </w:rPr>
            </w:pPr>
            <w:r w:rsidRPr="008D777B">
              <w:rPr>
                <w:color w:val="000000"/>
                <w:sz w:val="16"/>
              </w:rPr>
              <w:t>-58,1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05A272C"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138DB1A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2BE5A85" w14:textId="77777777" w:rsidR="004C78C0" w:rsidRPr="008D777B" w:rsidRDefault="004C78C0" w:rsidP="00654255">
            <w:pPr>
              <w:rPr>
                <w:rFonts w:cstheme="minorHAnsi"/>
                <w:color w:val="000000"/>
                <w:sz w:val="16"/>
                <w:szCs w:val="16"/>
              </w:rPr>
            </w:pPr>
            <w:r w:rsidRPr="008D777B">
              <w:rPr>
                <w:color w:val="000000"/>
                <w:sz w:val="16"/>
              </w:rPr>
              <w:t>Russie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BA3400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0DB8691" w14:textId="77777777" w:rsidR="004C78C0" w:rsidRPr="008D777B" w:rsidRDefault="004C78C0" w:rsidP="00654255">
            <w:pPr>
              <w:jc w:val="right"/>
              <w:rPr>
                <w:rFonts w:cstheme="minorHAnsi"/>
                <w:color w:val="000000"/>
                <w:sz w:val="16"/>
                <w:szCs w:val="16"/>
              </w:rPr>
            </w:pPr>
            <w:r w:rsidRPr="008D777B">
              <w:rPr>
                <w:color w:val="000000"/>
                <w:sz w:val="16"/>
              </w:rPr>
              <w:t>59,3</w:t>
            </w:r>
          </w:p>
        </w:tc>
        <w:tc>
          <w:tcPr>
            <w:tcW w:w="990" w:type="dxa"/>
            <w:tcBorders>
              <w:top w:val="nil"/>
              <w:left w:val="nil"/>
              <w:bottom w:val="single" w:sz="4" w:space="0" w:color="FFFFFF"/>
              <w:right w:val="single" w:sz="4" w:space="0" w:color="FFFFFF"/>
            </w:tcBorders>
            <w:shd w:val="clear" w:color="auto" w:fill="auto"/>
            <w:vAlign w:val="bottom"/>
            <w:hideMark/>
          </w:tcPr>
          <w:p w14:paraId="20C61A21" w14:textId="77777777" w:rsidR="004C78C0" w:rsidRPr="008D777B" w:rsidRDefault="004C78C0" w:rsidP="00654255">
            <w:pPr>
              <w:jc w:val="right"/>
              <w:rPr>
                <w:rFonts w:cstheme="minorHAnsi"/>
                <w:color w:val="000000"/>
                <w:sz w:val="16"/>
                <w:szCs w:val="16"/>
              </w:rPr>
            </w:pPr>
            <w:r w:rsidRPr="008D777B">
              <w:rPr>
                <w:color w:val="000000"/>
                <w:sz w:val="16"/>
              </w:rPr>
              <w:t>180,0</w:t>
            </w:r>
          </w:p>
        </w:tc>
        <w:tc>
          <w:tcPr>
            <w:tcW w:w="673" w:type="dxa"/>
            <w:tcBorders>
              <w:top w:val="nil"/>
              <w:left w:val="nil"/>
              <w:bottom w:val="single" w:sz="4" w:space="0" w:color="FFFFFF"/>
              <w:right w:val="single" w:sz="4" w:space="0" w:color="auto"/>
            </w:tcBorders>
            <w:shd w:val="clear" w:color="auto" w:fill="auto"/>
            <w:noWrap/>
            <w:vAlign w:val="bottom"/>
            <w:hideMark/>
          </w:tcPr>
          <w:p w14:paraId="6AE53954" w14:textId="77777777" w:rsidR="004C78C0" w:rsidRPr="008D777B" w:rsidRDefault="004C78C0" w:rsidP="00654255">
            <w:pPr>
              <w:jc w:val="right"/>
              <w:rPr>
                <w:rFonts w:cstheme="minorHAnsi"/>
                <w:color w:val="000000"/>
                <w:sz w:val="16"/>
                <w:szCs w:val="16"/>
              </w:rPr>
            </w:pPr>
            <w:r w:rsidRPr="008D777B">
              <w:rPr>
                <w:color w:val="000000"/>
                <w:sz w:val="16"/>
              </w:rPr>
              <w:t>203,3</w:t>
            </w:r>
          </w:p>
        </w:tc>
        <w:tc>
          <w:tcPr>
            <w:tcW w:w="829" w:type="dxa"/>
            <w:tcBorders>
              <w:top w:val="nil"/>
              <w:left w:val="nil"/>
              <w:bottom w:val="single" w:sz="4" w:space="0" w:color="FFFFFF"/>
              <w:right w:val="single" w:sz="4" w:space="0" w:color="FFFFFF"/>
            </w:tcBorders>
            <w:shd w:val="clear" w:color="auto" w:fill="auto"/>
            <w:noWrap/>
            <w:vAlign w:val="bottom"/>
            <w:hideMark/>
          </w:tcPr>
          <w:p w14:paraId="76D5477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6F22CB09" w14:textId="77777777" w:rsidR="004C78C0" w:rsidRPr="008D777B" w:rsidRDefault="004C78C0" w:rsidP="00654255">
            <w:pPr>
              <w:jc w:val="right"/>
              <w:rPr>
                <w:rFonts w:cstheme="minorHAnsi"/>
                <w:color w:val="000000"/>
                <w:sz w:val="16"/>
                <w:szCs w:val="16"/>
              </w:rPr>
            </w:pPr>
            <w:r w:rsidRPr="008D777B">
              <w:rPr>
                <w:color w:val="000000"/>
                <w:sz w:val="16"/>
              </w:rPr>
              <w:t>887,7</w:t>
            </w:r>
          </w:p>
        </w:tc>
        <w:tc>
          <w:tcPr>
            <w:tcW w:w="854" w:type="dxa"/>
            <w:tcBorders>
              <w:top w:val="nil"/>
              <w:left w:val="nil"/>
              <w:bottom w:val="single" w:sz="4" w:space="0" w:color="FFFFFF"/>
              <w:right w:val="single" w:sz="4" w:space="0" w:color="FFFFFF"/>
            </w:tcBorders>
            <w:shd w:val="clear" w:color="auto" w:fill="auto"/>
            <w:noWrap/>
            <w:vAlign w:val="bottom"/>
            <w:hideMark/>
          </w:tcPr>
          <w:p w14:paraId="24D40465" w14:textId="77777777" w:rsidR="004C78C0" w:rsidRPr="008D777B" w:rsidRDefault="004C78C0" w:rsidP="00654255">
            <w:pPr>
              <w:jc w:val="right"/>
              <w:rPr>
                <w:rFonts w:cstheme="minorHAnsi"/>
                <w:color w:val="000000"/>
                <w:sz w:val="16"/>
                <w:szCs w:val="16"/>
              </w:rPr>
            </w:pPr>
            <w:r w:rsidRPr="008D777B">
              <w:rPr>
                <w:color w:val="000000"/>
                <w:sz w:val="16"/>
              </w:rPr>
              <w:t>277,9</w:t>
            </w:r>
          </w:p>
        </w:tc>
        <w:tc>
          <w:tcPr>
            <w:tcW w:w="673" w:type="dxa"/>
            <w:tcBorders>
              <w:top w:val="nil"/>
              <w:left w:val="nil"/>
              <w:bottom w:val="single" w:sz="4" w:space="0" w:color="FFFFFF"/>
              <w:right w:val="nil"/>
            </w:tcBorders>
            <w:shd w:val="clear" w:color="auto" w:fill="auto"/>
            <w:noWrap/>
            <w:vAlign w:val="bottom"/>
            <w:hideMark/>
          </w:tcPr>
          <w:p w14:paraId="74B94E5C" w14:textId="77777777" w:rsidR="004C78C0" w:rsidRPr="008D777B" w:rsidRDefault="004C78C0" w:rsidP="00654255">
            <w:pPr>
              <w:jc w:val="right"/>
              <w:rPr>
                <w:rFonts w:cstheme="minorHAnsi"/>
                <w:color w:val="000000"/>
                <w:sz w:val="16"/>
                <w:szCs w:val="16"/>
              </w:rPr>
            </w:pPr>
            <w:r w:rsidRPr="008D777B">
              <w:rPr>
                <w:color w:val="000000"/>
                <w:sz w:val="16"/>
              </w:rPr>
              <w:t>-68,7</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4001E0E" w14:textId="77777777" w:rsidR="004C78C0" w:rsidRPr="008D777B" w:rsidRDefault="004C78C0" w:rsidP="00654255">
            <w:pPr>
              <w:jc w:val="right"/>
              <w:rPr>
                <w:rFonts w:cstheme="minorHAnsi"/>
                <w:color w:val="000000"/>
                <w:sz w:val="16"/>
                <w:szCs w:val="16"/>
              </w:rPr>
            </w:pPr>
            <w:r w:rsidRPr="008D777B">
              <w:rPr>
                <w:color w:val="000000"/>
                <w:sz w:val="16"/>
              </w:rPr>
              <w:t>154,4</w:t>
            </w:r>
          </w:p>
        </w:tc>
      </w:tr>
      <w:tr w:rsidR="004C78C0" w:rsidRPr="008D777B" w14:paraId="2D3CFAA8"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DE59189" w14:textId="77777777" w:rsidR="004C78C0" w:rsidRPr="008D777B" w:rsidRDefault="004C78C0" w:rsidP="00654255">
            <w:pPr>
              <w:rPr>
                <w:rFonts w:cstheme="minorHAnsi"/>
                <w:color w:val="000000"/>
                <w:sz w:val="16"/>
                <w:szCs w:val="16"/>
              </w:rPr>
            </w:pPr>
            <w:r w:rsidRPr="008D777B">
              <w:rPr>
                <w:color w:val="000000"/>
                <w:sz w:val="16"/>
              </w:rPr>
              <w:t>Turquie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B0D1940" w14:textId="77777777" w:rsidR="004C78C0" w:rsidRPr="008D777B" w:rsidRDefault="004C78C0" w:rsidP="00654255">
            <w:pPr>
              <w:jc w:val="right"/>
              <w:rPr>
                <w:rFonts w:cstheme="minorHAnsi"/>
                <w:color w:val="000000"/>
                <w:sz w:val="16"/>
                <w:szCs w:val="16"/>
              </w:rPr>
            </w:pPr>
            <w:r w:rsidRPr="008D777B">
              <w:rPr>
                <w:color w:val="000000"/>
                <w:sz w:val="16"/>
              </w:rPr>
              <w:t>3,6</w:t>
            </w:r>
          </w:p>
        </w:tc>
        <w:tc>
          <w:tcPr>
            <w:tcW w:w="990" w:type="dxa"/>
            <w:tcBorders>
              <w:top w:val="nil"/>
              <w:left w:val="nil"/>
              <w:bottom w:val="single" w:sz="4" w:space="0" w:color="FFFFFF"/>
              <w:right w:val="single" w:sz="4" w:space="0" w:color="FFFFFF"/>
            </w:tcBorders>
            <w:shd w:val="clear" w:color="auto" w:fill="auto"/>
            <w:vAlign w:val="bottom"/>
            <w:hideMark/>
          </w:tcPr>
          <w:p w14:paraId="308E75FB" w14:textId="77777777" w:rsidR="004C78C0" w:rsidRPr="008D777B" w:rsidRDefault="004C78C0" w:rsidP="00654255">
            <w:pPr>
              <w:jc w:val="right"/>
              <w:rPr>
                <w:rFonts w:cstheme="minorHAnsi"/>
                <w:color w:val="000000"/>
                <w:sz w:val="16"/>
                <w:szCs w:val="16"/>
              </w:rPr>
            </w:pPr>
            <w:r w:rsidRPr="008D777B">
              <w:rPr>
                <w:color w:val="000000"/>
                <w:sz w:val="16"/>
              </w:rPr>
              <w:t>55.661,9</w:t>
            </w:r>
          </w:p>
        </w:tc>
        <w:tc>
          <w:tcPr>
            <w:tcW w:w="990" w:type="dxa"/>
            <w:tcBorders>
              <w:top w:val="nil"/>
              <w:left w:val="nil"/>
              <w:bottom w:val="single" w:sz="4" w:space="0" w:color="FFFFFF"/>
              <w:right w:val="single" w:sz="4" w:space="0" w:color="FFFFFF"/>
            </w:tcBorders>
            <w:shd w:val="clear" w:color="auto" w:fill="auto"/>
            <w:vAlign w:val="bottom"/>
            <w:hideMark/>
          </w:tcPr>
          <w:p w14:paraId="6450EDD5" w14:textId="77777777" w:rsidR="004C78C0" w:rsidRPr="008D777B" w:rsidRDefault="004C78C0" w:rsidP="00654255">
            <w:pPr>
              <w:jc w:val="right"/>
              <w:rPr>
                <w:rFonts w:cstheme="minorHAnsi"/>
                <w:color w:val="000000"/>
                <w:sz w:val="16"/>
                <w:szCs w:val="16"/>
              </w:rPr>
            </w:pPr>
            <w:r w:rsidRPr="008D777B">
              <w:rPr>
                <w:color w:val="000000"/>
                <w:sz w:val="16"/>
              </w:rPr>
              <w:t>53.455,7</w:t>
            </w:r>
          </w:p>
        </w:tc>
        <w:tc>
          <w:tcPr>
            <w:tcW w:w="673" w:type="dxa"/>
            <w:tcBorders>
              <w:top w:val="nil"/>
              <w:left w:val="nil"/>
              <w:bottom w:val="single" w:sz="4" w:space="0" w:color="FFFFFF"/>
              <w:right w:val="single" w:sz="4" w:space="0" w:color="auto"/>
            </w:tcBorders>
            <w:shd w:val="clear" w:color="auto" w:fill="auto"/>
            <w:noWrap/>
            <w:vAlign w:val="bottom"/>
            <w:hideMark/>
          </w:tcPr>
          <w:p w14:paraId="0FC0E171" w14:textId="77777777" w:rsidR="004C78C0" w:rsidRPr="008D777B" w:rsidRDefault="004C78C0" w:rsidP="00654255">
            <w:pPr>
              <w:jc w:val="right"/>
              <w:rPr>
                <w:rFonts w:cstheme="minorHAnsi"/>
                <w:color w:val="000000"/>
                <w:sz w:val="16"/>
                <w:szCs w:val="16"/>
              </w:rPr>
            </w:pPr>
            <w:r w:rsidRPr="008D777B">
              <w:rPr>
                <w:color w:val="000000"/>
                <w:sz w:val="16"/>
              </w:rPr>
              <w:t>-4,0</w:t>
            </w:r>
          </w:p>
        </w:tc>
        <w:tc>
          <w:tcPr>
            <w:tcW w:w="829" w:type="dxa"/>
            <w:tcBorders>
              <w:top w:val="nil"/>
              <w:left w:val="nil"/>
              <w:bottom w:val="single" w:sz="4" w:space="0" w:color="FFFFFF"/>
              <w:right w:val="single" w:sz="4" w:space="0" w:color="FFFFFF"/>
            </w:tcBorders>
            <w:shd w:val="clear" w:color="auto" w:fill="auto"/>
            <w:noWrap/>
            <w:vAlign w:val="bottom"/>
            <w:hideMark/>
          </w:tcPr>
          <w:p w14:paraId="7595767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01EE2825" w14:textId="77777777" w:rsidR="004C78C0" w:rsidRPr="008D777B" w:rsidRDefault="004C78C0" w:rsidP="00654255">
            <w:pPr>
              <w:jc w:val="right"/>
              <w:rPr>
                <w:rFonts w:cstheme="minorHAnsi"/>
                <w:color w:val="000000"/>
                <w:sz w:val="16"/>
                <w:szCs w:val="16"/>
              </w:rPr>
            </w:pPr>
            <w:r w:rsidRPr="008D777B">
              <w:rPr>
                <w:color w:val="000000"/>
                <w:sz w:val="16"/>
              </w:rPr>
              <w:t>408,5</w:t>
            </w:r>
          </w:p>
        </w:tc>
        <w:tc>
          <w:tcPr>
            <w:tcW w:w="854" w:type="dxa"/>
            <w:tcBorders>
              <w:top w:val="nil"/>
              <w:left w:val="nil"/>
              <w:bottom w:val="single" w:sz="4" w:space="0" w:color="FFFFFF"/>
              <w:right w:val="single" w:sz="4" w:space="0" w:color="FFFFFF"/>
            </w:tcBorders>
            <w:shd w:val="clear" w:color="auto" w:fill="auto"/>
            <w:noWrap/>
            <w:vAlign w:val="bottom"/>
            <w:hideMark/>
          </w:tcPr>
          <w:p w14:paraId="2886CB6A" w14:textId="77777777" w:rsidR="004C78C0" w:rsidRPr="008D777B" w:rsidRDefault="004C78C0" w:rsidP="00654255">
            <w:pPr>
              <w:jc w:val="right"/>
              <w:rPr>
                <w:rFonts w:cstheme="minorHAnsi"/>
                <w:color w:val="000000"/>
                <w:sz w:val="16"/>
                <w:szCs w:val="16"/>
              </w:rPr>
            </w:pPr>
            <w:r w:rsidRPr="008D777B">
              <w:rPr>
                <w:color w:val="000000"/>
                <w:sz w:val="16"/>
              </w:rPr>
              <w:t>256,7</w:t>
            </w:r>
          </w:p>
        </w:tc>
        <w:tc>
          <w:tcPr>
            <w:tcW w:w="673" w:type="dxa"/>
            <w:tcBorders>
              <w:top w:val="nil"/>
              <w:left w:val="nil"/>
              <w:bottom w:val="single" w:sz="4" w:space="0" w:color="FFFFFF"/>
              <w:right w:val="nil"/>
            </w:tcBorders>
            <w:shd w:val="clear" w:color="auto" w:fill="auto"/>
            <w:noWrap/>
            <w:vAlign w:val="bottom"/>
            <w:hideMark/>
          </w:tcPr>
          <w:p w14:paraId="56366F49" w14:textId="77777777" w:rsidR="004C78C0" w:rsidRPr="008D777B" w:rsidRDefault="004C78C0" w:rsidP="00654255">
            <w:pPr>
              <w:jc w:val="right"/>
              <w:rPr>
                <w:rFonts w:cstheme="minorHAnsi"/>
                <w:color w:val="000000"/>
                <w:sz w:val="16"/>
                <w:szCs w:val="16"/>
              </w:rPr>
            </w:pPr>
            <w:r w:rsidRPr="008D777B">
              <w:rPr>
                <w:color w:val="000000"/>
                <w:sz w:val="16"/>
              </w:rPr>
              <w:t>-37,2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15822D5" w14:textId="77777777" w:rsidR="004C78C0" w:rsidRPr="008D777B" w:rsidRDefault="004C78C0" w:rsidP="00654255">
            <w:pPr>
              <w:jc w:val="right"/>
              <w:rPr>
                <w:rFonts w:cstheme="minorHAnsi"/>
                <w:color w:val="000000"/>
                <w:sz w:val="16"/>
                <w:szCs w:val="16"/>
              </w:rPr>
            </w:pPr>
            <w:r w:rsidRPr="008D777B">
              <w:rPr>
                <w:color w:val="000000"/>
                <w:sz w:val="16"/>
              </w:rPr>
              <w:t>0,5</w:t>
            </w:r>
          </w:p>
        </w:tc>
      </w:tr>
      <w:tr w:rsidR="004C78C0" w:rsidRPr="008D777B" w14:paraId="5EA5456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768B821" w14:textId="77777777" w:rsidR="004C78C0" w:rsidRPr="008D777B" w:rsidRDefault="004C78C0" w:rsidP="00654255">
            <w:pPr>
              <w:rPr>
                <w:rFonts w:cstheme="minorHAnsi"/>
                <w:color w:val="000000"/>
                <w:sz w:val="16"/>
                <w:szCs w:val="16"/>
              </w:rPr>
            </w:pPr>
            <w:r w:rsidRPr="008D777B">
              <w:rPr>
                <w:color w:val="000000"/>
                <w:sz w:val="16"/>
              </w:rPr>
              <w:t>Taïwan</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76C98B4"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0C2AF0E5" w14:textId="77777777" w:rsidR="004C78C0" w:rsidRPr="008D777B" w:rsidRDefault="004C78C0" w:rsidP="00654255">
            <w:pPr>
              <w:jc w:val="right"/>
              <w:rPr>
                <w:rFonts w:cstheme="minorHAnsi"/>
                <w:color w:val="000000"/>
                <w:sz w:val="16"/>
                <w:szCs w:val="16"/>
              </w:rPr>
            </w:pPr>
            <w:r w:rsidRPr="008D777B">
              <w:rPr>
                <w:color w:val="000000"/>
                <w:sz w:val="16"/>
              </w:rPr>
              <w:t>1.344,1</w:t>
            </w:r>
          </w:p>
        </w:tc>
        <w:tc>
          <w:tcPr>
            <w:tcW w:w="990" w:type="dxa"/>
            <w:tcBorders>
              <w:top w:val="nil"/>
              <w:left w:val="nil"/>
              <w:bottom w:val="single" w:sz="4" w:space="0" w:color="FFFFFF"/>
              <w:right w:val="single" w:sz="4" w:space="0" w:color="FFFFFF"/>
            </w:tcBorders>
            <w:shd w:val="clear" w:color="auto" w:fill="auto"/>
            <w:vAlign w:val="bottom"/>
            <w:hideMark/>
          </w:tcPr>
          <w:p w14:paraId="66684590" w14:textId="77777777" w:rsidR="004C78C0" w:rsidRPr="008D777B" w:rsidRDefault="004C78C0" w:rsidP="00654255">
            <w:pPr>
              <w:jc w:val="right"/>
              <w:rPr>
                <w:rFonts w:cstheme="minorHAnsi"/>
                <w:color w:val="000000"/>
                <w:sz w:val="16"/>
                <w:szCs w:val="16"/>
              </w:rPr>
            </w:pPr>
            <w:r w:rsidRPr="008D777B">
              <w:rPr>
                <w:color w:val="000000"/>
                <w:sz w:val="16"/>
              </w:rPr>
              <w:t>1.792,5</w:t>
            </w:r>
          </w:p>
        </w:tc>
        <w:tc>
          <w:tcPr>
            <w:tcW w:w="673" w:type="dxa"/>
            <w:tcBorders>
              <w:top w:val="nil"/>
              <w:left w:val="nil"/>
              <w:bottom w:val="single" w:sz="4" w:space="0" w:color="FFFFFF"/>
              <w:right w:val="single" w:sz="4" w:space="0" w:color="auto"/>
            </w:tcBorders>
            <w:shd w:val="clear" w:color="auto" w:fill="auto"/>
            <w:noWrap/>
            <w:vAlign w:val="bottom"/>
            <w:hideMark/>
          </w:tcPr>
          <w:p w14:paraId="494188A1" w14:textId="77777777" w:rsidR="004C78C0" w:rsidRPr="008D777B" w:rsidRDefault="004C78C0" w:rsidP="00654255">
            <w:pPr>
              <w:jc w:val="right"/>
              <w:rPr>
                <w:rFonts w:cstheme="minorHAnsi"/>
                <w:color w:val="000000"/>
                <w:sz w:val="16"/>
                <w:szCs w:val="16"/>
              </w:rPr>
            </w:pPr>
            <w:r w:rsidRPr="008D777B">
              <w:rPr>
                <w:color w:val="000000"/>
                <w:sz w:val="16"/>
              </w:rPr>
              <w:t>33,4</w:t>
            </w:r>
          </w:p>
        </w:tc>
        <w:tc>
          <w:tcPr>
            <w:tcW w:w="829" w:type="dxa"/>
            <w:tcBorders>
              <w:top w:val="nil"/>
              <w:left w:val="nil"/>
              <w:bottom w:val="single" w:sz="4" w:space="0" w:color="FFFFFF"/>
              <w:right w:val="single" w:sz="4" w:space="0" w:color="FFFFFF"/>
            </w:tcBorders>
            <w:shd w:val="clear" w:color="auto" w:fill="auto"/>
            <w:noWrap/>
            <w:vAlign w:val="bottom"/>
            <w:hideMark/>
          </w:tcPr>
          <w:p w14:paraId="72236C7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540410BA" w14:textId="77777777" w:rsidR="004C78C0" w:rsidRPr="008D777B" w:rsidRDefault="004C78C0" w:rsidP="00654255">
            <w:pPr>
              <w:jc w:val="right"/>
              <w:rPr>
                <w:rFonts w:cstheme="minorHAnsi"/>
                <w:color w:val="000000"/>
                <w:sz w:val="16"/>
                <w:szCs w:val="16"/>
              </w:rPr>
            </w:pPr>
            <w:r w:rsidRPr="008D777B">
              <w:rPr>
                <w:color w:val="000000"/>
                <w:sz w:val="16"/>
              </w:rPr>
              <w:t>575,0</w:t>
            </w:r>
          </w:p>
        </w:tc>
        <w:tc>
          <w:tcPr>
            <w:tcW w:w="854" w:type="dxa"/>
            <w:tcBorders>
              <w:top w:val="nil"/>
              <w:left w:val="nil"/>
              <w:bottom w:val="single" w:sz="4" w:space="0" w:color="FFFFFF"/>
              <w:right w:val="single" w:sz="4" w:space="0" w:color="FFFFFF"/>
            </w:tcBorders>
            <w:shd w:val="clear" w:color="auto" w:fill="auto"/>
            <w:noWrap/>
            <w:vAlign w:val="bottom"/>
            <w:hideMark/>
          </w:tcPr>
          <w:p w14:paraId="3B029C24" w14:textId="77777777" w:rsidR="004C78C0" w:rsidRPr="008D777B" w:rsidRDefault="004C78C0" w:rsidP="00654255">
            <w:pPr>
              <w:jc w:val="right"/>
              <w:rPr>
                <w:rFonts w:cstheme="minorHAnsi"/>
                <w:color w:val="000000"/>
                <w:sz w:val="16"/>
                <w:szCs w:val="16"/>
              </w:rPr>
            </w:pPr>
            <w:r w:rsidRPr="008D777B">
              <w:rPr>
                <w:color w:val="000000"/>
                <w:sz w:val="16"/>
              </w:rPr>
              <w:t>245,2</w:t>
            </w:r>
          </w:p>
        </w:tc>
        <w:tc>
          <w:tcPr>
            <w:tcW w:w="673" w:type="dxa"/>
            <w:tcBorders>
              <w:top w:val="nil"/>
              <w:left w:val="nil"/>
              <w:bottom w:val="single" w:sz="4" w:space="0" w:color="FFFFFF"/>
              <w:right w:val="nil"/>
            </w:tcBorders>
            <w:shd w:val="clear" w:color="auto" w:fill="auto"/>
            <w:noWrap/>
            <w:vAlign w:val="bottom"/>
            <w:hideMark/>
          </w:tcPr>
          <w:p w14:paraId="6E2CF27B" w14:textId="77777777" w:rsidR="004C78C0" w:rsidRPr="008D777B" w:rsidRDefault="004C78C0" w:rsidP="00654255">
            <w:pPr>
              <w:jc w:val="right"/>
              <w:rPr>
                <w:rFonts w:cstheme="minorHAnsi"/>
                <w:color w:val="000000"/>
                <w:sz w:val="16"/>
                <w:szCs w:val="16"/>
              </w:rPr>
            </w:pPr>
            <w:r w:rsidRPr="008D777B">
              <w:rPr>
                <w:color w:val="000000"/>
                <w:sz w:val="16"/>
              </w:rPr>
              <w:t>-57,4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D5F5DFB" w14:textId="77777777" w:rsidR="004C78C0" w:rsidRPr="008D777B" w:rsidRDefault="004C78C0" w:rsidP="00654255">
            <w:pPr>
              <w:jc w:val="right"/>
              <w:rPr>
                <w:rFonts w:cstheme="minorHAnsi"/>
                <w:color w:val="000000"/>
                <w:sz w:val="16"/>
                <w:szCs w:val="16"/>
              </w:rPr>
            </w:pPr>
            <w:r w:rsidRPr="008D777B">
              <w:rPr>
                <w:color w:val="000000"/>
                <w:sz w:val="16"/>
              </w:rPr>
              <w:t>13,7</w:t>
            </w:r>
          </w:p>
        </w:tc>
      </w:tr>
      <w:tr w:rsidR="004C78C0" w:rsidRPr="008D777B" w14:paraId="239A051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564EE8B" w14:textId="77777777" w:rsidR="004C78C0" w:rsidRPr="008D777B" w:rsidRDefault="004C78C0" w:rsidP="00654255">
            <w:pPr>
              <w:rPr>
                <w:rFonts w:cstheme="minorHAnsi"/>
                <w:color w:val="000000"/>
                <w:sz w:val="16"/>
                <w:szCs w:val="16"/>
              </w:rPr>
            </w:pPr>
            <w:r w:rsidRPr="008D777B">
              <w:rPr>
                <w:color w:val="000000"/>
                <w:sz w:val="16"/>
              </w:rPr>
              <w:t>Afrique du Sud</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C2007B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3D4BA51" w14:textId="77777777" w:rsidR="004C78C0" w:rsidRPr="008D777B" w:rsidRDefault="004C78C0" w:rsidP="00654255">
            <w:pPr>
              <w:jc w:val="right"/>
              <w:rPr>
                <w:rFonts w:cstheme="minorHAnsi"/>
                <w:color w:val="000000"/>
                <w:sz w:val="16"/>
                <w:szCs w:val="16"/>
              </w:rPr>
            </w:pPr>
            <w:r w:rsidRPr="008D777B">
              <w:rPr>
                <w:color w:val="000000"/>
                <w:sz w:val="16"/>
              </w:rPr>
              <w:t>142,6</w:t>
            </w:r>
          </w:p>
        </w:tc>
        <w:tc>
          <w:tcPr>
            <w:tcW w:w="990" w:type="dxa"/>
            <w:tcBorders>
              <w:top w:val="nil"/>
              <w:left w:val="nil"/>
              <w:bottom w:val="single" w:sz="4" w:space="0" w:color="FFFFFF"/>
              <w:right w:val="single" w:sz="4" w:space="0" w:color="FFFFFF"/>
            </w:tcBorders>
            <w:shd w:val="clear" w:color="auto" w:fill="auto"/>
            <w:vAlign w:val="bottom"/>
            <w:hideMark/>
          </w:tcPr>
          <w:p w14:paraId="52FC902A" w14:textId="77777777" w:rsidR="004C78C0" w:rsidRPr="008D777B" w:rsidRDefault="004C78C0" w:rsidP="00654255">
            <w:pPr>
              <w:jc w:val="right"/>
              <w:rPr>
                <w:rFonts w:cstheme="minorHAnsi"/>
                <w:color w:val="000000"/>
                <w:sz w:val="16"/>
                <w:szCs w:val="16"/>
              </w:rPr>
            </w:pPr>
            <w:r w:rsidRPr="008D777B">
              <w:rPr>
                <w:color w:val="000000"/>
                <w:sz w:val="16"/>
              </w:rPr>
              <w:t>51,2</w:t>
            </w:r>
          </w:p>
        </w:tc>
        <w:tc>
          <w:tcPr>
            <w:tcW w:w="673" w:type="dxa"/>
            <w:tcBorders>
              <w:top w:val="nil"/>
              <w:left w:val="nil"/>
              <w:bottom w:val="single" w:sz="4" w:space="0" w:color="FFFFFF"/>
              <w:right w:val="single" w:sz="4" w:space="0" w:color="auto"/>
            </w:tcBorders>
            <w:shd w:val="clear" w:color="auto" w:fill="auto"/>
            <w:noWrap/>
            <w:vAlign w:val="bottom"/>
            <w:hideMark/>
          </w:tcPr>
          <w:p w14:paraId="3E3373D3" w14:textId="77777777" w:rsidR="004C78C0" w:rsidRPr="008D777B" w:rsidRDefault="004C78C0" w:rsidP="00654255">
            <w:pPr>
              <w:jc w:val="right"/>
              <w:rPr>
                <w:rFonts w:cstheme="minorHAnsi"/>
                <w:color w:val="000000"/>
                <w:sz w:val="16"/>
                <w:szCs w:val="16"/>
              </w:rPr>
            </w:pPr>
            <w:r w:rsidRPr="008D777B">
              <w:rPr>
                <w:color w:val="000000"/>
                <w:sz w:val="16"/>
              </w:rPr>
              <w:t>-64,1</w:t>
            </w:r>
          </w:p>
        </w:tc>
        <w:tc>
          <w:tcPr>
            <w:tcW w:w="829" w:type="dxa"/>
            <w:tcBorders>
              <w:top w:val="nil"/>
              <w:left w:val="nil"/>
              <w:bottom w:val="single" w:sz="4" w:space="0" w:color="FFFFFF"/>
              <w:right w:val="single" w:sz="4" w:space="0" w:color="FFFFFF"/>
            </w:tcBorders>
            <w:shd w:val="clear" w:color="auto" w:fill="auto"/>
            <w:noWrap/>
            <w:vAlign w:val="bottom"/>
            <w:hideMark/>
          </w:tcPr>
          <w:p w14:paraId="56EF33F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1A8EA5D" w14:textId="77777777" w:rsidR="004C78C0" w:rsidRPr="008D777B" w:rsidRDefault="004C78C0" w:rsidP="00654255">
            <w:pPr>
              <w:jc w:val="right"/>
              <w:rPr>
                <w:rFonts w:cstheme="minorHAnsi"/>
                <w:color w:val="000000"/>
                <w:sz w:val="16"/>
                <w:szCs w:val="16"/>
              </w:rPr>
            </w:pPr>
            <w:r w:rsidRPr="008D777B">
              <w:rPr>
                <w:color w:val="000000"/>
                <w:sz w:val="16"/>
              </w:rPr>
              <w:t>721,8</w:t>
            </w:r>
          </w:p>
        </w:tc>
        <w:tc>
          <w:tcPr>
            <w:tcW w:w="854" w:type="dxa"/>
            <w:tcBorders>
              <w:top w:val="nil"/>
              <w:left w:val="nil"/>
              <w:bottom w:val="single" w:sz="4" w:space="0" w:color="FFFFFF"/>
              <w:right w:val="single" w:sz="4" w:space="0" w:color="FFFFFF"/>
            </w:tcBorders>
            <w:shd w:val="clear" w:color="auto" w:fill="auto"/>
            <w:noWrap/>
            <w:vAlign w:val="bottom"/>
            <w:hideMark/>
          </w:tcPr>
          <w:p w14:paraId="3833B9A4" w14:textId="77777777" w:rsidR="004C78C0" w:rsidRPr="008D777B" w:rsidRDefault="004C78C0" w:rsidP="00654255">
            <w:pPr>
              <w:jc w:val="right"/>
              <w:rPr>
                <w:rFonts w:cstheme="minorHAnsi"/>
                <w:color w:val="000000"/>
                <w:sz w:val="16"/>
                <w:szCs w:val="16"/>
              </w:rPr>
            </w:pPr>
            <w:r w:rsidRPr="008D777B">
              <w:rPr>
                <w:color w:val="000000"/>
                <w:sz w:val="16"/>
              </w:rPr>
              <w:t>227,2</w:t>
            </w:r>
          </w:p>
        </w:tc>
        <w:tc>
          <w:tcPr>
            <w:tcW w:w="673" w:type="dxa"/>
            <w:tcBorders>
              <w:top w:val="nil"/>
              <w:left w:val="nil"/>
              <w:bottom w:val="single" w:sz="4" w:space="0" w:color="FFFFFF"/>
              <w:right w:val="nil"/>
            </w:tcBorders>
            <w:shd w:val="clear" w:color="auto" w:fill="auto"/>
            <w:noWrap/>
            <w:vAlign w:val="bottom"/>
            <w:hideMark/>
          </w:tcPr>
          <w:p w14:paraId="3365A9D6" w14:textId="77777777" w:rsidR="004C78C0" w:rsidRPr="008D777B" w:rsidRDefault="004C78C0" w:rsidP="00654255">
            <w:pPr>
              <w:jc w:val="right"/>
              <w:rPr>
                <w:rFonts w:cstheme="minorHAnsi"/>
                <w:color w:val="000000"/>
                <w:sz w:val="16"/>
                <w:szCs w:val="16"/>
              </w:rPr>
            </w:pPr>
            <w:r w:rsidRPr="008D777B">
              <w:rPr>
                <w:color w:val="000000"/>
                <w:sz w:val="16"/>
              </w:rPr>
              <w:t>-68,5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E3147BD" w14:textId="77777777" w:rsidR="004C78C0" w:rsidRPr="008D777B" w:rsidRDefault="004C78C0" w:rsidP="00654255">
            <w:pPr>
              <w:jc w:val="right"/>
              <w:rPr>
                <w:rFonts w:cstheme="minorHAnsi"/>
                <w:color w:val="000000"/>
                <w:sz w:val="16"/>
                <w:szCs w:val="16"/>
              </w:rPr>
            </w:pPr>
            <w:r w:rsidRPr="008D777B">
              <w:rPr>
                <w:color w:val="000000"/>
                <w:sz w:val="16"/>
              </w:rPr>
              <w:t>444,1</w:t>
            </w:r>
          </w:p>
        </w:tc>
      </w:tr>
      <w:tr w:rsidR="004C78C0" w:rsidRPr="008D777B" w14:paraId="252C349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6C103C3" w14:textId="77777777" w:rsidR="004C78C0" w:rsidRPr="008D777B" w:rsidRDefault="004C78C0" w:rsidP="00654255">
            <w:pPr>
              <w:rPr>
                <w:rFonts w:cstheme="minorHAnsi"/>
                <w:color w:val="000000"/>
                <w:sz w:val="16"/>
                <w:szCs w:val="16"/>
              </w:rPr>
            </w:pPr>
            <w:r w:rsidRPr="008D777B">
              <w:rPr>
                <w:color w:val="000000"/>
                <w:sz w:val="16"/>
              </w:rPr>
              <w:t>Jordanie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5BA3E9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4FFC5CE" w14:textId="77777777" w:rsidR="004C78C0" w:rsidRPr="008D777B" w:rsidRDefault="004C78C0" w:rsidP="00654255">
            <w:pPr>
              <w:jc w:val="right"/>
              <w:rPr>
                <w:rFonts w:cstheme="minorHAnsi"/>
                <w:color w:val="000000"/>
                <w:sz w:val="16"/>
                <w:szCs w:val="16"/>
              </w:rPr>
            </w:pPr>
            <w:r w:rsidRPr="008D777B">
              <w:rPr>
                <w:color w:val="000000"/>
                <w:sz w:val="16"/>
              </w:rPr>
              <w:t>2,0</w:t>
            </w:r>
          </w:p>
        </w:tc>
        <w:tc>
          <w:tcPr>
            <w:tcW w:w="990" w:type="dxa"/>
            <w:tcBorders>
              <w:top w:val="nil"/>
              <w:left w:val="nil"/>
              <w:bottom w:val="single" w:sz="4" w:space="0" w:color="FFFFFF"/>
              <w:right w:val="single" w:sz="4" w:space="0" w:color="FFFFFF"/>
            </w:tcBorders>
            <w:shd w:val="clear" w:color="auto" w:fill="auto"/>
            <w:vAlign w:val="bottom"/>
            <w:hideMark/>
          </w:tcPr>
          <w:p w14:paraId="035423FD" w14:textId="77777777" w:rsidR="004C78C0" w:rsidRPr="008D777B" w:rsidRDefault="004C78C0" w:rsidP="00654255">
            <w:pPr>
              <w:jc w:val="right"/>
              <w:rPr>
                <w:rFonts w:cstheme="minorHAnsi"/>
                <w:color w:val="000000"/>
                <w:sz w:val="16"/>
                <w:szCs w:val="16"/>
              </w:rPr>
            </w:pPr>
            <w:r w:rsidRPr="008D777B">
              <w:rPr>
                <w:color w:val="000000"/>
                <w:sz w:val="16"/>
              </w:rPr>
              <w:t>2,8</w:t>
            </w:r>
          </w:p>
        </w:tc>
        <w:tc>
          <w:tcPr>
            <w:tcW w:w="673" w:type="dxa"/>
            <w:tcBorders>
              <w:top w:val="nil"/>
              <w:left w:val="nil"/>
              <w:bottom w:val="single" w:sz="4" w:space="0" w:color="FFFFFF"/>
              <w:right w:val="single" w:sz="4" w:space="0" w:color="auto"/>
            </w:tcBorders>
            <w:shd w:val="clear" w:color="auto" w:fill="auto"/>
            <w:noWrap/>
            <w:vAlign w:val="bottom"/>
            <w:hideMark/>
          </w:tcPr>
          <w:p w14:paraId="4DF56492" w14:textId="77777777" w:rsidR="004C78C0" w:rsidRPr="008D777B" w:rsidRDefault="004C78C0" w:rsidP="00654255">
            <w:pPr>
              <w:jc w:val="right"/>
              <w:rPr>
                <w:rFonts w:cstheme="minorHAnsi"/>
                <w:color w:val="000000"/>
                <w:sz w:val="16"/>
                <w:szCs w:val="16"/>
              </w:rPr>
            </w:pPr>
            <w:r w:rsidRPr="008D777B">
              <w:rPr>
                <w:color w:val="000000"/>
                <w:sz w:val="16"/>
              </w:rPr>
              <w:t>38,1</w:t>
            </w:r>
          </w:p>
        </w:tc>
        <w:tc>
          <w:tcPr>
            <w:tcW w:w="829" w:type="dxa"/>
            <w:tcBorders>
              <w:top w:val="nil"/>
              <w:left w:val="nil"/>
              <w:bottom w:val="single" w:sz="4" w:space="0" w:color="FFFFFF"/>
              <w:right w:val="single" w:sz="4" w:space="0" w:color="FFFFFF"/>
            </w:tcBorders>
            <w:shd w:val="clear" w:color="auto" w:fill="auto"/>
            <w:noWrap/>
            <w:vAlign w:val="bottom"/>
            <w:hideMark/>
          </w:tcPr>
          <w:p w14:paraId="5A200FB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1B0754FE" w14:textId="77777777" w:rsidR="004C78C0" w:rsidRPr="008D777B" w:rsidRDefault="004C78C0" w:rsidP="00654255">
            <w:pPr>
              <w:jc w:val="right"/>
              <w:rPr>
                <w:rFonts w:cstheme="minorHAnsi"/>
                <w:color w:val="000000"/>
                <w:sz w:val="16"/>
                <w:szCs w:val="16"/>
              </w:rPr>
            </w:pPr>
            <w:r w:rsidRPr="008D777B">
              <w:rPr>
                <w:color w:val="000000"/>
                <w:sz w:val="16"/>
              </w:rPr>
              <w:t>135,2</w:t>
            </w:r>
          </w:p>
        </w:tc>
        <w:tc>
          <w:tcPr>
            <w:tcW w:w="854" w:type="dxa"/>
            <w:tcBorders>
              <w:top w:val="nil"/>
              <w:left w:val="nil"/>
              <w:bottom w:val="single" w:sz="4" w:space="0" w:color="FFFFFF"/>
              <w:right w:val="single" w:sz="4" w:space="0" w:color="FFFFFF"/>
            </w:tcBorders>
            <w:shd w:val="clear" w:color="auto" w:fill="auto"/>
            <w:noWrap/>
            <w:vAlign w:val="bottom"/>
            <w:hideMark/>
          </w:tcPr>
          <w:p w14:paraId="03545DA2" w14:textId="77777777" w:rsidR="004C78C0" w:rsidRPr="008D777B" w:rsidRDefault="004C78C0" w:rsidP="00654255">
            <w:pPr>
              <w:jc w:val="right"/>
              <w:rPr>
                <w:rFonts w:cstheme="minorHAnsi"/>
                <w:color w:val="000000"/>
                <w:sz w:val="16"/>
                <w:szCs w:val="16"/>
              </w:rPr>
            </w:pPr>
            <w:r w:rsidRPr="008D777B">
              <w:rPr>
                <w:color w:val="000000"/>
                <w:sz w:val="16"/>
              </w:rPr>
              <w:t>226,9</w:t>
            </w:r>
          </w:p>
        </w:tc>
        <w:tc>
          <w:tcPr>
            <w:tcW w:w="673" w:type="dxa"/>
            <w:tcBorders>
              <w:top w:val="nil"/>
              <w:left w:val="nil"/>
              <w:bottom w:val="single" w:sz="4" w:space="0" w:color="FFFFFF"/>
              <w:right w:val="nil"/>
            </w:tcBorders>
            <w:shd w:val="clear" w:color="auto" w:fill="auto"/>
            <w:noWrap/>
            <w:vAlign w:val="bottom"/>
            <w:hideMark/>
          </w:tcPr>
          <w:p w14:paraId="5698BCA8" w14:textId="77777777" w:rsidR="004C78C0" w:rsidRPr="008D777B" w:rsidRDefault="004C78C0" w:rsidP="00654255">
            <w:pPr>
              <w:jc w:val="right"/>
              <w:rPr>
                <w:rFonts w:cstheme="minorHAnsi"/>
                <w:color w:val="000000"/>
                <w:sz w:val="16"/>
                <w:szCs w:val="16"/>
              </w:rPr>
            </w:pPr>
            <w:r w:rsidRPr="008D777B">
              <w:rPr>
                <w:color w:val="000000"/>
                <w:sz w:val="16"/>
              </w:rPr>
              <w:t>67,9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C8A6AB3" w14:textId="77777777" w:rsidR="004C78C0" w:rsidRPr="008D777B" w:rsidRDefault="004C78C0" w:rsidP="00654255">
            <w:pPr>
              <w:jc w:val="right"/>
              <w:rPr>
                <w:rFonts w:cstheme="minorHAnsi"/>
                <w:color w:val="000000"/>
                <w:sz w:val="16"/>
                <w:szCs w:val="16"/>
              </w:rPr>
            </w:pPr>
            <w:r w:rsidRPr="008D777B">
              <w:rPr>
                <w:color w:val="000000"/>
                <w:sz w:val="16"/>
              </w:rPr>
              <w:t>8.073,8</w:t>
            </w:r>
          </w:p>
        </w:tc>
      </w:tr>
      <w:tr w:rsidR="004C78C0" w:rsidRPr="008D777B" w14:paraId="097A7F2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BE9427E" w14:textId="77777777" w:rsidR="004C78C0" w:rsidRPr="008D777B" w:rsidRDefault="004C78C0" w:rsidP="00654255">
            <w:pPr>
              <w:rPr>
                <w:rFonts w:cstheme="minorHAnsi"/>
                <w:color w:val="000000"/>
                <w:sz w:val="16"/>
                <w:szCs w:val="16"/>
              </w:rPr>
            </w:pPr>
            <w:r w:rsidRPr="008D777B">
              <w:rPr>
                <w:color w:val="000000"/>
                <w:sz w:val="16"/>
              </w:rPr>
              <w:t>Chili</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EA8AED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8496559" w14:textId="77777777" w:rsidR="004C78C0" w:rsidRPr="008D777B" w:rsidRDefault="004C78C0" w:rsidP="00654255">
            <w:pPr>
              <w:jc w:val="right"/>
              <w:rPr>
                <w:rFonts w:cstheme="minorHAnsi"/>
                <w:color w:val="000000"/>
                <w:sz w:val="16"/>
                <w:szCs w:val="16"/>
              </w:rPr>
            </w:pPr>
            <w:r w:rsidRPr="008D777B">
              <w:rPr>
                <w:color w:val="000000"/>
                <w:sz w:val="16"/>
              </w:rPr>
              <w:t>2,4</w:t>
            </w:r>
          </w:p>
        </w:tc>
        <w:tc>
          <w:tcPr>
            <w:tcW w:w="990" w:type="dxa"/>
            <w:tcBorders>
              <w:top w:val="nil"/>
              <w:left w:val="nil"/>
              <w:bottom w:val="single" w:sz="4" w:space="0" w:color="FFFFFF"/>
              <w:right w:val="single" w:sz="4" w:space="0" w:color="FFFFFF"/>
            </w:tcBorders>
            <w:shd w:val="clear" w:color="auto" w:fill="auto"/>
            <w:vAlign w:val="bottom"/>
            <w:hideMark/>
          </w:tcPr>
          <w:p w14:paraId="52C1D3FC" w14:textId="77777777" w:rsidR="004C78C0" w:rsidRPr="008D777B" w:rsidRDefault="004C78C0" w:rsidP="00654255">
            <w:pPr>
              <w:jc w:val="right"/>
              <w:rPr>
                <w:rFonts w:cstheme="minorHAnsi"/>
                <w:color w:val="000000"/>
                <w:sz w:val="16"/>
                <w:szCs w:val="16"/>
              </w:rPr>
            </w:pPr>
            <w:r w:rsidRPr="008D777B">
              <w:rPr>
                <w:color w:val="000000"/>
                <w:sz w:val="16"/>
              </w:rPr>
              <w:t>1,3</w:t>
            </w:r>
          </w:p>
        </w:tc>
        <w:tc>
          <w:tcPr>
            <w:tcW w:w="673" w:type="dxa"/>
            <w:tcBorders>
              <w:top w:val="nil"/>
              <w:left w:val="nil"/>
              <w:bottom w:val="single" w:sz="4" w:space="0" w:color="FFFFFF"/>
              <w:right w:val="single" w:sz="4" w:space="0" w:color="auto"/>
            </w:tcBorders>
            <w:shd w:val="clear" w:color="auto" w:fill="auto"/>
            <w:noWrap/>
            <w:vAlign w:val="bottom"/>
            <w:hideMark/>
          </w:tcPr>
          <w:p w14:paraId="70EE3D6A" w14:textId="77777777" w:rsidR="004C78C0" w:rsidRPr="008D777B" w:rsidRDefault="004C78C0" w:rsidP="00654255">
            <w:pPr>
              <w:jc w:val="right"/>
              <w:rPr>
                <w:rFonts w:cstheme="minorHAnsi"/>
                <w:color w:val="000000"/>
                <w:sz w:val="16"/>
                <w:szCs w:val="16"/>
              </w:rPr>
            </w:pPr>
            <w:r w:rsidRPr="008D777B">
              <w:rPr>
                <w:color w:val="000000"/>
                <w:sz w:val="16"/>
              </w:rPr>
              <w:t>-46,0</w:t>
            </w:r>
          </w:p>
        </w:tc>
        <w:tc>
          <w:tcPr>
            <w:tcW w:w="829" w:type="dxa"/>
            <w:tcBorders>
              <w:top w:val="nil"/>
              <w:left w:val="nil"/>
              <w:bottom w:val="single" w:sz="4" w:space="0" w:color="FFFFFF"/>
              <w:right w:val="single" w:sz="4" w:space="0" w:color="FFFFFF"/>
            </w:tcBorders>
            <w:shd w:val="clear" w:color="auto" w:fill="auto"/>
            <w:noWrap/>
            <w:vAlign w:val="bottom"/>
            <w:hideMark/>
          </w:tcPr>
          <w:p w14:paraId="7EB707A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EADDDD9" w14:textId="77777777" w:rsidR="004C78C0" w:rsidRPr="008D777B" w:rsidRDefault="004C78C0" w:rsidP="00654255">
            <w:pPr>
              <w:jc w:val="right"/>
              <w:rPr>
                <w:rFonts w:cstheme="minorHAnsi"/>
                <w:color w:val="000000"/>
                <w:sz w:val="16"/>
                <w:szCs w:val="16"/>
              </w:rPr>
            </w:pPr>
            <w:r w:rsidRPr="008D777B">
              <w:rPr>
                <w:color w:val="000000"/>
                <w:sz w:val="16"/>
              </w:rPr>
              <w:t>107,8</w:t>
            </w:r>
          </w:p>
        </w:tc>
        <w:tc>
          <w:tcPr>
            <w:tcW w:w="854" w:type="dxa"/>
            <w:tcBorders>
              <w:top w:val="nil"/>
              <w:left w:val="nil"/>
              <w:bottom w:val="single" w:sz="4" w:space="0" w:color="FFFFFF"/>
              <w:right w:val="single" w:sz="4" w:space="0" w:color="FFFFFF"/>
            </w:tcBorders>
            <w:shd w:val="clear" w:color="auto" w:fill="auto"/>
            <w:noWrap/>
            <w:vAlign w:val="bottom"/>
            <w:hideMark/>
          </w:tcPr>
          <w:p w14:paraId="7F24A69E" w14:textId="77777777" w:rsidR="004C78C0" w:rsidRPr="008D777B" w:rsidRDefault="004C78C0" w:rsidP="00654255">
            <w:pPr>
              <w:jc w:val="right"/>
              <w:rPr>
                <w:rFonts w:cstheme="minorHAnsi"/>
                <w:color w:val="000000"/>
                <w:sz w:val="16"/>
                <w:szCs w:val="16"/>
              </w:rPr>
            </w:pPr>
            <w:r w:rsidRPr="008D777B">
              <w:rPr>
                <w:color w:val="000000"/>
                <w:sz w:val="16"/>
              </w:rPr>
              <w:t>211,9</w:t>
            </w:r>
          </w:p>
        </w:tc>
        <w:tc>
          <w:tcPr>
            <w:tcW w:w="673" w:type="dxa"/>
            <w:tcBorders>
              <w:top w:val="nil"/>
              <w:left w:val="nil"/>
              <w:bottom w:val="single" w:sz="4" w:space="0" w:color="FFFFFF"/>
              <w:right w:val="nil"/>
            </w:tcBorders>
            <w:shd w:val="clear" w:color="auto" w:fill="auto"/>
            <w:noWrap/>
            <w:vAlign w:val="bottom"/>
            <w:hideMark/>
          </w:tcPr>
          <w:p w14:paraId="3C1904F8" w14:textId="77777777" w:rsidR="004C78C0" w:rsidRPr="008D777B" w:rsidRDefault="004C78C0" w:rsidP="00654255">
            <w:pPr>
              <w:jc w:val="right"/>
              <w:rPr>
                <w:rFonts w:cstheme="minorHAnsi"/>
                <w:color w:val="000000"/>
                <w:sz w:val="16"/>
                <w:szCs w:val="16"/>
              </w:rPr>
            </w:pPr>
            <w:r w:rsidRPr="008D777B">
              <w:rPr>
                <w:color w:val="000000"/>
                <w:sz w:val="16"/>
              </w:rPr>
              <w:t>96,6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6E06474" w14:textId="77777777" w:rsidR="004C78C0" w:rsidRPr="008D777B" w:rsidRDefault="004C78C0" w:rsidP="00654255">
            <w:pPr>
              <w:jc w:val="right"/>
              <w:rPr>
                <w:rFonts w:cstheme="minorHAnsi"/>
                <w:color w:val="000000"/>
                <w:sz w:val="16"/>
                <w:szCs w:val="16"/>
              </w:rPr>
            </w:pPr>
            <w:r w:rsidRPr="008D777B">
              <w:rPr>
                <w:color w:val="000000"/>
                <w:sz w:val="16"/>
              </w:rPr>
              <w:t>16.525,8</w:t>
            </w:r>
          </w:p>
        </w:tc>
      </w:tr>
      <w:tr w:rsidR="004C78C0" w:rsidRPr="008D777B" w14:paraId="4DAADB3E"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B6B9EF4" w14:textId="77777777" w:rsidR="004C78C0" w:rsidRPr="008D777B" w:rsidRDefault="004C78C0" w:rsidP="00654255">
            <w:pPr>
              <w:rPr>
                <w:rFonts w:cstheme="minorHAnsi"/>
                <w:color w:val="000000"/>
                <w:sz w:val="16"/>
                <w:szCs w:val="16"/>
              </w:rPr>
            </w:pPr>
            <w:r w:rsidRPr="008D777B">
              <w:rPr>
                <w:color w:val="000000"/>
                <w:sz w:val="16"/>
              </w:rPr>
              <w:t>Côte d'Ivoire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ABDD68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FDCA5E1" w14:textId="77777777" w:rsidR="004C78C0" w:rsidRPr="008D777B" w:rsidRDefault="004C78C0" w:rsidP="00654255">
            <w:pPr>
              <w:jc w:val="right"/>
              <w:rPr>
                <w:rFonts w:cstheme="minorHAnsi"/>
                <w:color w:val="000000"/>
                <w:sz w:val="16"/>
                <w:szCs w:val="16"/>
              </w:rPr>
            </w:pPr>
            <w:r w:rsidRPr="008D777B">
              <w:rPr>
                <w:color w:val="000000"/>
                <w:sz w:val="16"/>
              </w:rPr>
              <w:t>0,6</w:t>
            </w:r>
          </w:p>
        </w:tc>
        <w:tc>
          <w:tcPr>
            <w:tcW w:w="990" w:type="dxa"/>
            <w:tcBorders>
              <w:top w:val="nil"/>
              <w:left w:val="nil"/>
              <w:bottom w:val="single" w:sz="4" w:space="0" w:color="FFFFFF"/>
              <w:right w:val="single" w:sz="4" w:space="0" w:color="FFFFFF"/>
            </w:tcBorders>
            <w:shd w:val="clear" w:color="auto" w:fill="auto"/>
            <w:vAlign w:val="bottom"/>
            <w:hideMark/>
          </w:tcPr>
          <w:p w14:paraId="5ED48D97" w14:textId="77777777" w:rsidR="004C78C0" w:rsidRPr="008D777B" w:rsidRDefault="004C78C0" w:rsidP="00654255">
            <w:pPr>
              <w:jc w:val="right"/>
              <w:rPr>
                <w:rFonts w:cstheme="minorHAnsi"/>
                <w:color w:val="000000"/>
                <w:sz w:val="16"/>
                <w:szCs w:val="16"/>
              </w:rPr>
            </w:pPr>
            <w:r w:rsidRPr="008D777B">
              <w:rPr>
                <w:color w:val="000000"/>
                <w:sz w:val="16"/>
              </w:rPr>
              <w:t>6,8</w:t>
            </w:r>
          </w:p>
        </w:tc>
        <w:tc>
          <w:tcPr>
            <w:tcW w:w="673" w:type="dxa"/>
            <w:tcBorders>
              <w:top w:val="nil"/>
              <w:left w:val="nil"/>
              <w:bottom w:val="single" w:sz="4" w:space="0" w:color="FFFFFF"/>
              <w:right w:val="single" w:sz="4" w:space="0" w:color="auto"/>
            </w:tcBorders>
            <w:shd w:val="clear" w:color="auto" w:fill="auto"/>
            <w:noWrap/>
            <w:vAlign w:val="bottom"/>
            <w:hideMark/>
          </w:tcPr>
          <w:p w14:paraId="1B48C66E" w14:textId="77777777" w:rsidR="004C78C0" w:rsidRPr="008D777B" w:rsidRDefault="004C78C0" w:rsidP="00654255">
            <w:pPr>
              <w:jc w:val="right"/>
              <w:rPr>
                <w:rFonts w:cstheme="minorHAnsi"/>
                <w:color w:val="000000"/>
                <w:sz w:val="16"/>
                <w:szCs w:val="16"/>
              </w:rPr>
            </w:pPr>
            <w:r w:rsidRPr="008D777B">
              <w:rPr>
                <w:color w:val="000000"/>
                <w:sz w:val="16"/>
              </w:rPr>
              <w:t>1.121,3</w:t>
            </w:r>
          </w:p>
        </w:tc>
        <w:tc>
          <w:tcPr>
            <w:tcW w:w="829" w:type="dxa"/>
            <w:tcBorders>
              <w:top w:val="nil"/>
              <w:left w:val="nil"/>
              <w:bottom w:val="single" w:sz="4" w:space="0" w:color="FFFFFF"/>
              <w:right w:val="single" w:sz="4" w:space="0" w:color="FFFFFF"/>
            </w:tcBorders>
            <w:shd w:val="clear" w:color="auto" w:fill="auto"/>
            <w:noWrap/>
            <w:vAlign w:val="bottom"/>
            <w:hideMark/>
          </w:tcPr>
          <w:p w14:paraId="51F1250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B25764D" w14:textId="77777777" w:rsidR="004C78C0" w:rsidRPr="008D777B" w:rsidRDefault="004C78C0" w:rsidP="00654255">
            <w:pPr>
              <w:jc w:val="right"/>
              <w:rPr>
                <w:rFonts w:cstheme="minorHAnsi"/>
                <w:color w:val="000000"/>
                <w:sz w:val="16"/>
                <w:szCs w:val="16"/>
              </w:rPr>
            </w:pPr>
            <w:r w:rsidRPr="008D777B">
              <w:rPr>
                <w:color w:val="000000"/>
                <w:sz w:val="16"/>
              </w:rPr>
              <w:t>520,8</w:t>
            </w:r>
          </w:p>
        </w:tc>
        <w:tc>
          <w:tcPr>
            <w:tcW w:w="854" w:type="dxa"/>
            <w:tcBorders>
              <w:top w:val="nil"/>
              <w:left w:val="nil"/>
              <w:bottom w:val="single" w:sz="4" w:space="0" w:color="FFFFFF"/>
              <w:right w:val="single" w:sz="4" w:space="0" w:color="FFFFFF"/>
            </w:tcBorders>
            <w:shd w:val="clear" w:color="auto" w:fill="auto"/>
            <w:noWrap/>
            <w:vAlign w:val="bottom"/>
            <w:hideMark/>
          </w:tcPr>
          <w:p w14:paraId="573820C4" w14:textId="77777777" w:rsidR="004C78C0" w:rsidRPr="008D777B" w:rsidRDefault="004C78C0" w:rsidP="00654255">
            <w:pPr>
              <w:jc w:val="right"/>
              <w:rPr>
                <w:rFonts w:cstheme="minorHAnsi"/>
                <w:color w:val="000000"/>
                <w:sz w:val="16"/>
                <w:szCs w:val="16"/>
              </w:rPr>
            </w:pPr>
            <w:r w:rsidRPr="008D777B">
              <w:rPr>
                <w:color w:val="000000"/>
                <w:sz w:val="16"/>
              </w:rPr>
              <w:t>209,8</w:t>
            </w:r>
          </w:p>
        </w:tc>
        <w:tc>
          <w:tcPr>
            <w:tcW w:w="673" w:type="dxa"/>
            <w:tcBorders>
              <w:top w:val="nil"/>
              <w:left w:val="nil"/>
              <w:bottom w:val="single" w:sz="4" w:space="0" w:color="FFFFFF"/>
              <w:right w:val="nil"/>
            </w:tcBorders>
            <w:shd w:val="clear" w:color="auto" w:fill="auto"/>
            <w:noWrap/>
            <w:vAlign w:val="bottom"/>
            <w:hideMark/>
          </w:tcPr>
          <w:p w14:paraId="1F4DF345" w14:textId="77777777" w:rsidR="004C78C0" w:rsidRPr="008D777B" w:rsidRDefault="004C78C0" w:rsidP="00654255">
            <w:pPr>
              <w:jc w:val="right"/>
              <w:rPr>
                <w:rFonts w:cstheme="minorHAnsi"/>
                <w:color w:val="000000"/>
                <w:sz w:val="16"/>
                <w:szCs w:val="16"/>
              </w:rPr>
            </w:pPr>
            <w:r w:rsidRPr="008D777B">
              <w:rPr>
                <w:color w:val="000000"/>
                <w:sz w:val="16"/>
              </w:rPr>
              <w:t>-59,7</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C7A5F68" w14:textId="77777777" w:rsidR="004C78C0" w:rsidRPr="008D777B" w:rsidRDefault="004C78C0" w:rsidP="00654255">
            <w:pPr>
              <w:jc w:val="right"/>
              <w:rPr>
                <w:rFonts w:cstheme="minorHAnsi"/>
                <w:color w:val="000000"/>
                <w:sz w:val="16"/>
                <w:szCs w:val="16"/>
              </w:rPr>
            </w:pPr>
            <w:r w:rsidRPr="008D777B">
              <w:rPr>
                <w:color w:val="000000"/>
                <w:sz w:val="16"/>
              </w:rPr>
              <w:t>3.068,0</w:t>
            </w:r>
          </w:p>
        </w:tc>
      </w:tr>
      <w:tr w:rsidR="004C78C0" w:rsidRPr="008D777B" w14:paraId="18926616"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EA9B7C9" w14:textId="77777777" w:rsidR="004C78C0" w:rsidRPr="008D777B" w:rsidRDefault="004C78C0" w:rsidP="00654255">
            <w:pPr>
              <w:rPr>
                <w:rFonts w:cstheme="minorHAnsi"/>
                <w:color w:val="000000"/>
                <w:sz w:val="16"/>
                <w:szCs w:val="16"/>
              </w:rPr>
            </w:pPr>
            <w:r w:rsidRPr="008D777B">
              <w:rPr>
                <w:color w:val="000000"/>
                <w:sz w:val="16"/>
              </w:rPr>
              <w:t>Gabon</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FFC60D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01B717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7DBE06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593BCB65"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65F6B99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53A6571" w14:textId="77777777" w:rsidR="004C78C0" w:rsidRPr="008D777B" w:rsidRDefault="004C78C0" w:rsidP="00654255">
            <w:pPr>
              <w:jc w:val="right"/>
              <w:rPr>
                <w:rFonts w:cstheme="minorHAnsi"/>
                <w:color w:val="000000"/>
                <w:sz w:val="16"/>
                <w:szCs w:val="16"/>
              </w:rPr>
            </w:pPr>
            <w:r w:rsidRPr="008D777B">
              <w:rPr>
                <w:color w:val="000000"/>
                <w:sz w:val="16"/>
              </w:rPr>
              <w:t>211,7</w:t>
            </w:r>
          </w:p>
        </w:tc>
        <w:tc>
          <w:tcPr>
            <w:tcW w:w="854" w:type="dxa"/>
            <w:tcBorders>
              <w:top w:val="nil"/>
              <w:left w:val="nil"/>
              <w:bottom w:val="single" w:sz="4" w:space="0" w:color="FFFFFF"/>
              <w:right w:val="single" w:sz="4" w:space="0" w:color="FFFFFF"/>
            </w:tcBorders>
            <w:shd w:val="clear" w:color="auto" w:fill="auto"/>
            <w:noWrap/>
            <w:vAlign w:val="bottom"/>
            <w:hideMark/>
          </w:tcPr>
          <w:p w14:paraId="6C52717F" w14:textId="77777777" w:rsidR="004C78C0" w:rsidRPr="008D777B" w:rsidRDefault="004C78C0" w:rsidP="00654255">
            <w:pPr>
              <w:jc w:val="right"/>
              <w:rPr>
                <w:rFonts w:cstheme="minorHAnsi"/>
                <w:color w:val="000000"/>
                <w:sz w:val="16"/>
                <w:szCs w:val="16"/>
              </w:rPr>
            </w:pPr>
            <w:r w:rsidRPr="008D777B">
              <w:rPr>
                <w:color w:val="000000"/>
                <w:sz w:val="16"/>
              </w:rPr>
              <w:t>196,2</w:t>
            </w:r>
          </w:p>
        </w:tc>
        <w:tc>
          <w:tcPr>
            <w:tcW w:w="673" w:type="dxa"/>
            <w:tcBorders>
              <w:top w:val="nil"/>
              <w:left w:val="nil"/>
              <w:bottom w:val="single" w:sz="4" w:space="0" w:color="FFFFFF"/>
              <w:right w:val="nil"/>
            </w:tcBorders>
            <w:shd w:val="clear" w:color="auto" w:fill="auto"/>
            <w:noWrap/>
            <w:vAlign w:val="bottom"/>
            <w:hideMark/>
          </w:tcPr>
          <w:p w14:paraId="31D8FFFC" w14:textId="77777777" w:rsidR="004C78C0" w:rsidRPr="008D777B" w:rsidRDefault="004C78C0" w:rsidP="00654255">
            <w:pPr>
              <w:jc w:val="right"/>
              <w:rPr>
                <w:rFonts w:cstheme="minorHAnsi"/>
                <w:color w:val="000000"/>
                <w:sz w:val="16"/>
                <w:szCs w:val="16"/>
              </w:rPr>
            </w:pPr>
            <w:r w:rsidRPr="008D777B">
              <w:rPr>
                <w:color w:val="000000"/>
                <w:sz w:val="16"/>
              </w:rPr>
              <w:t>-7,3</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CE14148"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6C592BF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3632871" w14:textId="77777777" w:rsidR="004C78C0" w:rsidRPr="008D777B" w:rsidRDefault="004C78C0" w:rsidP="00654255">
            <w:pPr>
              <w:rPr>
                <w:rFonts w:cstheme="minorHAnsi"/>
                <w:color w:val="000000"/>
                <w:sz w:val="16"/>
                <w:szCs w:val="16"/>
              </w:rPr>
            </w:pPr>
            <w:r w:rsidRPr="008D777B">
              <w:rPr>
                <w:color w:val="000000"/>
                <w:sz w:val="16"/>
              </w:rPr>
              <w:t>Costa Rica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E1357B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718A0BB"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6DB07F0" w14:textId="77777777" w:rsidR="004C78C0" w:rsidRPr="008D777B" w:rsidRDefault="004C78C0" w:rsidP="00654255">
            <w:pPr>
              <w:jc w:val="right"/>
              <w:rPr>
                <w:rFonts w:cstheme="minorHAnsi"/>
                <w:color w:val="000000"/>
                <w:sz w:val="16"/>
                <w:szCs w:val="16"/>
              </w:rPr>
            </w:pPr>
            <w:r w:rsidRPr="008D777B">
              <w:rPr>
                <w:color w:val="000000"/>
                <w:sz w:val="16"/>
              </w:rPr>
              <w:t>1,3</w:t>
            </w:r>
          </w:p>
        </w:tc>
        <w:tc>
          <w:tcPr>
            <w:tcW w:w="673" w:type="dxa"/>
            <w:tcBorders>
              <w:top w:val="nil"/>
              <w:left w:val="nil"/>
              <w:bottom w:val="single" w:sz="4" w:space="0" w:color="FFFFFF"/>
              <w:right w:val="single" w:sz="4" w:space="0" w:color="auto"/>
            </w:tcBorders>
            <w:shd w:val="clear" w:color="auto" w:fill="auto"/>
            <w:noWrap/>
            <w:vAlign w:val="bottom"/>
            <w:hideMark/>
          </w:tcPr>
          <w:p w14:paraId="7BCC7280"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6D51A36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6FF710B7" w14:textId="77777777" w:rsidR="004C78C0" w:rsidRPr="008D777B" w:rsidRDefault="004C78C0" w:rsidP="00654255">
            <w:pPr>
              <w:jc w:val="right"/>
              <w:rPr>
                <w:rFonts w:cstheme="minorHAnsi"/>
                <w:color w:val="000000"/>
                <w:sz w:val="16"/>
                <w:szCs w:val="16"/>
              </w:rPr>
            </w:pPr>
            <w:r w:rsidRPr="008D777B">
              <w:rPr>
                <w:color w:val="000000"/>
                <w:sz w:val="16"/>
              </w:rPr>
              <w:t>20,7</w:t>
            </w:r>
          </w:p>
        </w:tc>
        <w:tc>
          <w:tcPr>
            <w:tcW w:w="854" w:type="dxa"/>
            <w:tcBorders>
              <w:top w:val="nil"/>
              <w:left w:val="nil"/>
              <w:bottom w:val="single" w:sz="4" w:space="0" w:color="FFFFFF"/>
              <w:right w:val="single" w:sz="4" w:space="0" w:color="FFFFFF"/>
            </w:tcBorders>
            <w:shd w:val="clear" w:color="auto" w:fill="auto"/>
            <w:noWrap/>
            <w:vAlign w:val="bottom"/>
            <w:hideMark/>
          </w:tcPr>
          <w:p w14:paraId="74493C61" w14:textId="77777777" w:rsidR="004C78C0" w:rsidRPr="008D777B" w:rsidRDefault="004C78C0" w:rsidP="00654255">
            <w:pPr>
              <w:jc w:val="right"/>
              <w:rPr>
                <w:rFonts w:cstheme="minorHAnsi"/>
                <w:color w:val="000000"/>
                <w:sz w:val="16"/>
                <w:szCs w:val="16"/>
              </w:rPr>
            </w:pPr>
            <w:r w:rsidRPr="008D777B">
              <w:rPr>
                <w:color w:val="000000"/>
                <w:sz w:val="16"/>
              </w:rPr>
              <w:t>186,5</w:t>
            </w:r>
          </w:p>
        </w:tc>
        <w:tc>
          <w:tcPr>
            <w:tcW w:w="673" w:type="dxa"/>
            <w:tcBorders>
              <w:top w:val="nil"/>
              <w:left w:val="nil"/>
              <w:bottom w:val="single" w:sz="4" w:space="0" w:color="FFFFFF"/>
              <w:right w:val="nil"/>
            </w:tcBorders>
            <w:shd w:val="clear" w:color="auto" w:fill="auto"/>
            <w:noWrap/>
            <w:vAlign w:val="bottom"/>
            <w:hideMark/>
          </w:tcPr>
          <w:p w14:paraId="389E57D7" w14:textId="77777777" w:rsidR="004C78C0" w:rsidRPr="008D777B" w:rsidRDefault="004C78C0" w:rsidP="00654255">
            <w:pPr>
              <w:jc w:val="right"/>
              <w:rPr>
                <w:rFonts w:cstheme="minorHAnsi"/>
                <w:color w:val="000000"/>
                <w:sz w:val="16"/>
                <w:szCs w:val="16"/>
              </w:rPr>
            </w:pPr>
            <w:r w:rsidRPr="008D777B">
              <w:rPr>
                <w:color w:val="000000"/>
                <w:sz w:val="16"/>
              </w:rPr>
              <w:t>801,1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D9C9DA9" w14:textId="77777777" w:rsidR="004C78C0" w:rsidRPr="008D777B" w:rsidRDefault="004C78C0" w:rsidP="00654255">
            <w:pPr>
              <w:jc w:val="right"/>
              <w:rPr>
                <w:rFonts w:cstheme="minorHAnsi"/>
                <w:color w:val="000000"/>
                <w:sz w:val="16"/>
                <w:szCs w:val="16"/>
              </w:rPr>
            </w:pPr>
            <w:r w:rsidRPr="008D777B">
              <w:rPr>
                <w:color w:val="000000"/>
                <w:sz w:val="16"/>
              </w:rPr>
              <w:t>14.730,6</w:t>
            </w:r>
          </w:p>
        </w:tc>
      </w:tr>
      <w:tr w:rsidR="004C78C0" w:rsidRPr="008D777B" w14:paraId="43036608"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3F89F30" w14:textId="77777777" w:rsidR="004C78C0" w:rsidRPr="008D777B" w:rsidRDefault="004C78C0" w:rsidP="00654255">
            <w:pPr>
              <w:rPr>
                <w:rFonts w:cstheme="minorHAnsi"/>
                <w:color w:val="000000"/>
                <w:sz w:val="16"/>
                <w:szCs w:val="16"/>
              </w:rPr>
            </w:pPr>
            <w:r w:rsidRPr="008D777B">
              <w:rPr>
                <w:color w:val="000000"/>
                <w:sz w:val="16"/>
              </w:rPr>
              <w:t>Egypte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3FFC30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5EA1EDD" w14:textId="77777777" w:rsidR="004C78C0" w:rsidRPr="008D777B" w:rsidRDefault="004C78C0" w:rsidP="00654255">
            <w:pPr>
              <w:jc w:val="right"/>
              <w:rPr>
                <w:rFonts w:cstheme="minorHAnsi"/>
                <w:color w:val="000000"/>
                <w:sz w:val="16"/>
                <w:szCs w:val="16"/>
              </w:rPr>
            </w:pPr>
            <w:r w:rsidRPr="008D777B">
              <w:rPr>
                <w:color w:val="000000"/>
                <w:sz w:val="16"/>
              </w:rPr>
              <w:t>327,0</w:t>
            </w:r>
          </w:p>
        </w:tc>
        <w:tc>
          <w:tcPr>
            <w:tcW w:w="990" w:type="dxa"/>
            <w:tcBorders>
              <w:top w:val="nil"/>
              <w:left w:val="nil"/>
              <w:bottom w:val="single" w:sz="4" w:space="0" w:color="FFFFFF"/>
              <w:right w:val="single" w:sz="4" w:space="0" w:color="FFFFFF"/>
            </w:tcBorders>
            <w:shd w:val="clear" w:color="auto" w:fill="auto"/>
            <w:vAlign w:val="bottom"/>
            <w:hideMark/>
          </w:tcPr>
          <w:p w14:paraId="61AEE205" w14:textId="77777777" w:rsidR="004C78C0" w:rsidRPr="008D777B" w:rsidRDefault="004C78C0" w:rsidP="00654255">
            <w:pPr>
              <w:jc w:val="right"/>
              <w:rPr>
                <w:rFonts w:cstheme="minorHAnsi"/>
                <w:color w:val="000000"/>
                <w:sz w:val="16"/>
                <w:szCs w:val="16"/>
              </w:rPr>
            </w:pPr>
            <w:r w:rsidRPr="008D777B">
              <w:rPr>
                <w:color w:val="000000"/>
                <w:sz w:val="16"/>
              </w:rPr>
              <w:t>230,0</w:t>
            </w:r>
          </w:p>
        </w:tc>
        <w:tc>
          <w:tcPr>
            <w:tcW w:w="673" w:type="dxa"/>
            <w:tcBorders>
              <w:top w:val="nil"/>
              <w:left w:val="nil"/>
              <w:bottom w:val="single" w:sz="4" w:space="0" w:color="FFFFFF"/>
              <w:right w:val="single" w:sz="4" w:space="0" w:color="auto"/>
            </w:tcBorders>
            <w:shd w:val="clear" w:color="auto" w:fill="auto"/>
            <w:noWrap/>
            <w:vAlign w:val="bottom"/>
            <w:hideMark/>
          </w:tcPr>
          <w:p w14:paraId="0D21BC93" w14:textId="77777777" w:rsidR="004C78C0" w:rsidRPr="008D777B" w:rsidRDefault="004C78C0" w:rsidP="00654255">
            <w:pPr>
              <w:jc w:val="right"/>
              <w:rPr>
                <w:rFonts w:cstheme="minorHAnsi"/>
                <w:color w:val="000000"/>
                <w:sz w:val="16"/>
                <w:szCs w:val="16"/>
              </w:rPr>
            </w:pPr>
            <w:r w:rsidRPr="008D777B">
              <w:rPr>
                <w:color w:val="000000"/>
                <w:sz w:val="16"/>
              </w:rPr>
              <w:t>-29,7</w:t>
            </w:r>
          </w:p>
        </w:tc>
        <w:tc>
          <w:tcPr>
            <w:tcW w:w="829" w:type="dxa"/>
            <w:tcBorders>
              <w:top w:val="nil"/>
              <w:left w:val="nil"/>
              <w:bottom w:val="single" w:sz="4" w:space="0" w:color="FFFFFF"/>
              <w:right w:val="single" w:sz="4" w:space="0" w:color="FFFFFF"/>
            </w:tcBorders>
            <w:shd w:val="clear" w:color="auto" w:fill="auto"/>
            <w:noWrap/>
            <w:vAlign w:val="bottom"/>
            <w:hideMark/>
          </w:tcPr>
          <w:p w14:paraId="624C165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1C00DCC6" w14:textId="77777777" w:rsidR="004C78C0" w:rsidRPr="008D777B" w:rsidRDefault="004C78C0" w:rsidP="00654255">
            <w:pPr>
              <w:jc w:val="right"/>
              <w:rPr>
                <w:rFonts w:cstheme="minorHAnsi"/>
                <w:color w:val="000000"/>
                <w:sz w:val="16"/>
                <w:szCs w:val="16"/>
              </w:rPr>
            </w:pPr>
            <w:r w:rsidRPr="008D777B">
              <w:rPr>
                <w:color w:val="000000"/>
                <w:sz w:val="16"/>
              </w:rPr>
              <w:t>199,7</w:t>
            </w:r>
          </w:p>
        </w:tc>
        <w:tc>
          <w:tcPr>
            <w:tcW w:w="854" w:type="dxa"/>
            <w:tcBorders>
              <w:top w:val="nil"/>
              <w:left w:val="nil"/>
              <w:bottom w:val="single" w:sz="4" w:space="0" w:color="FFFFFF"/>
              <w:right w:val="single" w:sz="4" w:space="0" w:color="FFFFFF"/>
            </w:tcBorders>
            <w:shd w:val="clear" w:color="auto" w:fill="auto"/>
            <w:noWrap/>
            <w:vAlign w:val="bottom"/>
            <w:hideMark/>
          </w:tcPr>
          <w:p w14:paraId="68224602" w14:textId="77777777" w:rsidR="004C78C0" w:rsidRPr="008D777B" w:rsidRDefault="004C78C0" w:rsidP="00654255">
            <w:pPr>
              <w:jc w:val="right"/>
              <w:rPr>
                <w:rFonts w:cstheme="minorHAnsi"/>
                <w:color w:val="000000"/>
                <w:sz w:val="16"/>
                <w:szCs w:val="16"/>
              </w:rPr>
            </w:pPr>
            <w:r w:rsidRPr="008D777B">
              <w:rPr>
                <w:color w:val="000000"/>
                <w:sz w:val="16"/>
              </w:rPr>
              <w:t>177,2</w:t>
            </w:r>
          </w:p>
        </w:tc>
        <w:tc>
          <w:tcPr>
            <w:tcW w:w="673" w:type="dxa"/>
            <w:tcBorders>
              <w:top w:val="nil"/>
              <w:left w:val="nil"/>
              <w:bottom w:val="single" w:sz="4" w:space="0" w:color="FFFFFF"/>
              <w:right w:val="nil"/>
            </w:tcBorders>
            <w:shd w:val="clear" w:color="auto" w:fill="auto"/>
            <w:noWrap/>
            <w:vAlign w:val="bottom"/>
            <w:hideMark/>
          </w:tcPr>
          <w:p w14:paraId="05E4AFC5" w14:textId="77777777" w:rsidR="004C78C0" w:rsidRPr="008D777B" w:rsidRDefault="004C78C0" w:rsidP="00654255">
            <w:pPr>
              <w:jc w:val="right"/>
              <w:rPr>
                <w:rFonts w:cstheme="minorHAnsi"/>
                <w:color w:val="000000"/>
                <w:sz w:val="16"/>
                <w:szCs w:val="16"/>
              </w:rPr>
            </w:pPr>
            <w:r w:rsidRPr="008D777B">
              <w:rPr>
                <w:color w:val="000000"/>
                <w:sz w:val="16"/>
              </w:rPr>
              <w:t>-11,3</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137C167" w14:textId="77777777" w:rsidR="004C78C0" w:rsidRPr="008D777B" w:rsidRDefault="004C78C0" w:rsidP="00654255">
            <w:pPr>
              <w:jc w:val="right"/>
              <w:rPr>
                <w:rFonts w:cstheme="minorHAnsi"/>
                <w:color w:val="000000"/>
                <w:sz w:val="16"/>
                <w:szCs w:val="16"/>
              </w:rPr>
            </w:pPr>
            <w:r w:rsidRPr="008D777B">
              <w:rPr>
                <w:color w:val="000000"/>
                <w:sz w:val="16"/>
              </w:rPr>
              <w:t>77,0</w:t>
            </w:r>
          </w:p>
        </w:tc>
      </w:tr>
      <w:tr w:rsidR="004C78C0" w:rsidRPr="008D777B" w14:paraId="39307889"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46E2409" w14:textId="77777777" w:rsidR="004C78C0" w:rsidRPr="008D777B" w:rsidRDefault="004C78C0" w:rsidP="00654255">
            <w:pPr>
              <w:rPr>
                <w:rFonts w:cstheme="minorHAnsi"/>
                <w:color w:val="000000"/>
                <w:sz w:val="16"/>
                <w:szCs w:val="16"/>
              </w:rPr>
            </w:pPr>
            <w:r w:rsidRPr="008D777B">
              <w:rPr>
                <w:color w:val="000000"/>
                <w:sz w:val="16"/>
              </w:rPr>
              <w:t>Bénin</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069530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3A2DA6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9A2923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2CD0232B"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47E204A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4D896CA" w14:textId="77777777" w:rsidR="004C78C0" w:rsidRPr="008D777B" w:rsidRDefault="004C78C0" w:rsidP="00654255">
            <w:pPr>
              <w:jc w:val="right"/>
              <w:rPr>
                <w:rFonts w:cstheme="minorHAnsi"/>
                <w:color w:val="000000"/>
                <w:sz w:val="16"/>
                <w:szCs w:val="16"/>
              </w:rPr>
            </w:pPr>
            <w:r w:rsidRPr="008D777B">
              <w:rPr>
                <w:color w:val="000000"/>
                <w:sz w:val="16"/>
              </w:rPr>
              <w:t>69,8</w:t>
            </w:r>
          </w:p>
        </w:tc>
        <w:tc>
          <w:tcPr>
            <w:tcW w:w="854" w:type="dxa"/>
            <w:tcBorders>
              <w:top w:val="nil"/>
              <w:left w:val="nil"/>
              <w:bottom w:val="single" w:sz="4" w:space="0" w:color="FFFFFF"/>
              <w:right w:val="single" w:sz="4" w:space="0" w:color="FFFFFF"/>
            </w:tcBorders>
            <w:shd w:val="clear" w:color="auto" w:fill="auto"/>
            <w:noWrap/>
            <w:vAlign w:val="bottom"/>
            <w:hideMark/>
          </w:tcPr>
          <w:p w14:paraId="441D985A" w14:textId="77777777" w:rsidR="004C78C0" w:rsidRPr="008D777B" w:rsidRDefault="004C78C0" w:rsidP="00654255">
            <w:pPr>
              <w:jc w:val="right"/>
              <w:rPr>
                <w:rFonts w:cstheme="minorHAnsi"/>
                <w:color w:val="000000"/>
                <w:sz w:val="16"/>
                <w:szCs w:val="16"/>
              </w:rPr>
            </w:pPr>
            <w:r w:rsidRPr="008D777B">
              <w:rPr>
                <w:color w:val="000000"/>
                <w:sz w:val="16"/>
              </w:rPr>
              <w:t>172,7</w:t>
            </w:r>
          </w:p>
        </w:tc>
        <w:tc>
          <w:tcPr>
            <w:tcW w:w="673" w:type="dxa"/>
            <w:tcBorders>
              <w:top w:val="nil"/>
              <w:left w:val="nil"/>
              <w:bottom w:val="single" w:sz="4" w:space="0" w:color="FFFFFF"/>
              <w:right w:val="nil"/>
            </w:tcBorders>
            <w:shd w:val="clear" w:color="auto" w:fill="auto"/>
            <w:noWrap/>
            <w:vAlign w:val="bottom"/>
            <w:hideMark/>
          </w:tcPr>
          <w:p w14:paraId="3E6A8DC9" w14:textId="77777777" w:rsidR="004C78C0" w:rsidRPr="008D777B" w:rsidRDefault="004C78C0" w:rsidP="00654255">
            <w:pPr>
              <w:jc w:val="right"/>
              <w:rPr>
                <w:rFonts w:cstheme="minorHAnsi"/>
                <w:color w:val="000000"/>
                <w:sz w:val="16"/>
                <w:szCs w:val="16"/>
              </w:rPr>
            </w:pPr>
            <w:r w:rsidRPr="008D777B">
              <w:rPr>
                <w:color w:val="000000"/>
                <w:sz w:val="16"/>
              </w:rPr>
              <w:t>147,6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8CE30BD"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06E67991"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38CEA40" w14:textId="77777777" w:rsidR="004C78C0" w:rsidRPr="008D777B" w:rsidRDefault="004C78C0" w:rsidP="00654255">
            <w:pPr>
              <w:rPr>
                <w:rFonts w:cstheme="minorHAnsi"/>
                <w:color w:val="000000"/>
                <w:sz w:val="16"/>
                <w:szCs w:val="16"/>
              </w:rPr>
            </w:pPr>
            <w:r w:rsidRPr="008D777B">
              <w:rPr>
                <w:color w:val="000000"/>
                <w:sz w:val="16"/>
              </w:rPr>
              <w:t>Nouvelle-Zélande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00361D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CCDE8C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267C214" w14:textId="77777777" w:rsidR="004C78C0" w:rsidRPr="008D777B" w:rsidRDefault="004C78C0" w:rsidP="00654255">
            <w:pPr>
              <w:jc w:val="right"/>
              <w:rPr>
                <w:rFonts w:cstheme="minorHAnsi"/>
                <w:color w:val="000000"/>
                <w:sz w:val="16"/>
                <w:szCs w:val="16"/>
              </w:rPr>
            </w:pPr>
            <w:r w:rsidRPr="008D777B">
              <w:rPr>
                <w:color w:val="000000"/>
                <w:sz w:val="16"/>
              </w:rPr>
              <w:t>153,6</w:t>
            </w:r>
          </w:p>
        </w:tc>
        <w:tc>
          <w:tcPr>
            <w:tcW w:w="673" w:type="dxa"/>
            <w:tcBorders>
              <w:top w:val="nil"/>
              <w:left w:val="nil"/>
              <w:bottom w:val="single" w:sz="4" w:space="0" w:color="FFFFFF"/>
              <w:right w:val="single" w:sz="4" w:space="0" w:color="auto"/>
            </w:tcBorders>
            <w:shd w:val="clear" w:color="auto" w:fill="auto"/>
            <w:noWrap/>
            <w:vAlign w:val="bottom"/>
            <w:hideMark/>
          </w:tcPr>
          <w:p w14:paraId="218D646A"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4852069B"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0DD448D2" w14:textId="77777777" w:rsidR="004C78C0" w:rsidRPr="008D777B" w:rsidRDefault="004C78C0" w:rsidP="00654255">
            <w:pPr>
              <w:jc w:val="right"/>
              <w:rPr>
                <w:rFonts w:cstheme="minorHAnsi"/>
                <w:color w:val="000000"/>
                <w:sz w:val="16"/>
                <w:szCs w:val="16"/>
              </w:rPr>
            </w:pPr>
            <w:r w:rsidRPr="008D777B">
              <w:rPr>
                <w:color w:val="000000"/>
                <w:sz w:val="16"/>
              </w:rPr>
              <w:t>373,8</w:t>
            </w:r>
          </w:p>
        </w:tc>
        <w:tc>
          <w:tcPr>
            <w:tcW w:w="854" w:type="dxa"/>
            <w:tcBorders>
              <w:top w:val="nil"/>
              <w:left w:val="nil"/>
              <w:bottom w:val="single" w:sz="4" w:space="0" w:color="FFFFFF"/>
              <w:right w:val="single" w:sz="4" w:space="0" w:color="FFFFFF"/>
            </w:tcBorders>
            <w:shd w:val="clear" w:color="auto" w:fill="auto"/>
            <w:noWrap/>
            <w:vAlign w:val="bottom"/>
            <w:hideMark/>
          </w:tcPr>
          <w:p w14:paraId="23FA51F8" w14:textId="77777777" w:rsidR="004C78C0" w:rsidRPr="008D777B" w:rsidRDefault="004C78C0" w:rsidP="00654255">
            <w:pPr>
              <w:jc w:val="right"/>
              <w:rPr>
                <w:rFonts w:cstheme="minorHAnsi"/>
                <w:color w:val="000000"/>
                <w:sz w:val="16"/>
                <w:szCs w:val="16"/>
              </w:rPr>
            </w:pPr>
            <w:r w:rsidRPr="008D777B">
              <w:rPr>
                <w:color w:val="000000"/>
                <w:sz w:val="16"/>
              </w:rPr>
              <w:t>171,3</w:t>
            </w:r>
          </w:p>
        </w:tc>
        <w:tc>
          <w:tcPr>
            <w:tcW w:w="673" w:type="dxa"/>
            <w:tcBorders>
              <w:top w:val="nil"/>
              <w:left w:val="nil"/>
              <w:bottom w:val="single" w:sz="4" w:space="0" w:color="FFFFFF"/>
              <w:right w:val="nil"/>
            </w:tcBorders>
            <w:shd w:val="clear" w:color="auto" w:fill="auto"/>
            <w:noWrap/>
            <w:vAlign w:val="bottom"/>
            <w:hideMark/>
          </w:tcPr>
          <w:p w14:paraId="55275AFA" w14:textId="77777777" w:rsidR="004C78C0" w:rsidRPr="008D777B" w:rsidRDefault="004C78C0" w:rsidP="00654255">
            <w:pPr>
              <w:jc w:val="right"/>
              <w:rPr>
                <w:rFonts w:cstheme="minorHAnsi"/>
                <w:color w:val="000000"/>
                <w:sz w:val="16"/>
                <w:szCs w:val="16"/>
              </w:rPr>
            </w:pPr>
            <w:r w:rsidRPr="008D777B">
              <w:rPr>
                <w:color w:val="000000"/>
                <w:sz w:val="16"/>
              </w:rPr>
              <w:t>-54,2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1DA1863" w14:textId="77777777" w:rsidR="004C78C0" w:rsidRPr="008D777B" w:rsidRDefault="004C78C0" w:rsidP="00654255">
            <w:pPr>
              <w:jc w:val="right"/>
              <w:rPr>
                <w:rFonts w:cstheme="minorHAnsi"/>
                <w:color w:val="000000"/>
                <w:sz w:val="16"/>
                <w:szCs w:val="16"/>
              </w:rPr>
            </w:pPr>
            <w:r w:rsidRPr="008D777B">
              <w:rPr>
                <w:color w:val="000000"/>
                <w:sz w:val="16"/>
              </w:rPr>
              <w:t>111,6</w:t>
            </w:r>
          </w:p>
        </w:tc>
      </w:tr>
      <w:tr w:rsidR="004C78C0" w:rsidRPr="008D777B" w14:paraId="75DB6FAC"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2D25CDB" w14:textId="77777777" w:rsidR="004C78C0" w:rsidRPr="008D777B" w:rsidRDefault="004C78C0" w:rsidP="00654255">
            <w:pPr>
              <w:rPr>
                <w:rFonts w:cstheme="minorHAnsi"/>
                <w:color w:val="000000"/>
                <w:sz w:val="16"/>
                <w:szCs w:val="16"/>
              </w:rPr>
            </w:pPr>
            <w:r w:rsidRPr="008D777B">
              <w:rPr>
                <w:color w:val="000000"/>
                <w:sz w:val="16"/>
              </w:rPr>
              <w:t>Libye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B412BB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E3672AE"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9DA526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57982769"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032CD9D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6AAEAA48" w14:textId="77777777" w:rsidR="004C78C0" w:rsidRPr="008D777B" w:rsidRDefault="004C78C0" w:rsidP="00654255">
            <w:pPr>
              <w:jc w:val="right"/>
              <w:rPr>
                <w:rFonts w:cstheme="minorHAnsi"/>
                <w:color w:val="000000"/>
                <w:sz w:val="16"/>
                <w:szCs w:val="16"/>
              </w:rPr>
            </w:pPr>
            <w:r w:rsidRPr="008D777B">
              <w:rPr>
                <w:color w:val="000000"/>
                <w:sz w:val="16"/>
              </w:rPr>
              <w:t>22,7</w:t>
            </w:r>
          </w:p>
        </w:tc>
        <w:tc>
          <w:tcPr>
            <w:tcW w:w="854" w:type="dxa"/>
            <w:tcBorders>
              <w:top w:val="nil"/>
              <w:left w:val="nil"/>
              <w:bottom w:val="single" w:sz="4" w:space="0" w:color="FFFFFF"/>
              <w:right w:val="single" w:sz="4" w:space="0" w:color="FFFFFF"/>
            </w:tcBorders>
            <w:shd w:val="clear" w:color="auto" w:fill="auto"/>
            <w:noWrap/>
            <w:vAlign w:val="bottom"/>
            <w:hideMark/>
          </w:tcPr>
          <w:p w14:paraId="49C7726F" w14:textId="77777777" w:rsidR="004C78C0" w:rsidRPr="008D777B" w:rsidRDefault="004C78C0" w:rsidP="00654255">
            <w:pPr>
              <w:jc w:val="right"/>
              <w:rPr>
                <w:rFonts w:cstheme="minorHAnsi"/>
                <w:color w:val="000000"/>
                <w:sz w:val="16"/>
                <w:szCs w:val="16"/>
              </w:rPr>
            </w:pPr>
            <w:r w:rsidRPr="008D777B">
              <w:rPr>
                <w:color w:val="000000"/>
                <w:sz w:val="16"/>
              </w:rPr>
              <w:t>169,2</w:t>
            </w:r>
          </w:p>
        </w:tc>
        <w:tc>
          <w:tcPr>
            <w:tcW w:w="673" w:type="dxa"/>
            <w:tcBorders>
              <w:top w:val="nil"/>
              <w:left w:val="nil"/>
              <w:bottom w:val="single" w:sz="4" w:space="0" w:color="FFFFFF"/>
              <w:right w:val="nil"/>
            </w:tcBorders>
            <w:shd w:val="clear" w:color="auto" w:fill="auto"/>
            <w:noWrap/>
            <w:vAlign w:val="bottom"/>
            <w:hideMark/>
          </w:tcPr>
          <w:p w14:paraId="037DFAD9" w14:textId="77777777" w:rsidR="004C78C0" w:rsidRPr="008D777B" w:rsidRDefault="004C78C0" w:rsidP="00654255">
            <w:pPr>
              <w:jc w:val="right"/>
              <w:rPr>
                <w:rFonts w:cstheme="minorHAnsi"/>
                <w:color w:val="000000"/>
                <w:sz w:val="16"/>
                <w:szCs w:val="16"/>
              </w:rPr>
            </w:pPr>
            <w:r w:rsidRPr="008D777B">
              <w:rPr>
                <w:color w:val="000000"/>
                <w:sz w:val="16"/>
              </w:rPr>
              <w:t>645,0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30D073D"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58A3A8E9"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E580261" w14:textId="77777777" w:rsidR="004C78C0" w:rsidRPr="008D777B" w:rsidRDefault="004C78C0" w:rsidP="00654255">
            <w:pPr>
              <w:rPr>
                <w:rFonts w:cstheme="minorHAnsi"/>
                <w:color w:val="000000"/>
                <w:sz w:val="16"/>
                <w:szCs w:val="16"/>
              </w:rPr>
            </w:pPr>
            <w:r w:rsidRPr="008D777B">
              <w:rPr>
                <w:color w:val="000000"/>
                <w:sz w:val="16"/>
              </w:rPr>
              <w:t>Rwanda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1604ED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6BD042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C54ACD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2777DD85"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3C7A053E"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027F1C4" w14:textId="77777777" w:rsidR="004C78C0" w:rsidRPr="008D777B" w:rsidRDefault="004C78C0" w:rsidP="00654255">
            <w:pPr>
              <w:jc w:val="right"/>
              <w:rPr>
                <w:rFonts w:cstheme="minorHAnsi"/>
                <w:color w:val="000000"/>
                <w:sz w:val="16"/>
                <w:szCs w:val="16"/>
              </w:rPr>
            </w:pPr>
            <w:r w:rsidRPr="008D777B">
              <w:rPr>
                <w:color w:val="000000"/>
                <w:sz w:val="16"/>
              </w:rPr>
              <w:t>154,2</w:t>
            </w:r>
          </w:p>
        </w:tc>
        <w:tc>
          <w:tcPr>
            <w:tcW w:w="854" w:type="dxa"/>
            <w:tcBorders>
              <w:top w:val="nil"/>
              <w:left w:val="nil"/>
              <w:bottom w:val="single" w:sz="4" w:space="0" w:color="FFFFFF"/>
              <w:right w:val="single" w:sz="4" w:space="0" w:color="FFFFFF"/>
            </w:tcBorders>
            <w:shd w:val="clear" w:color="auto" w:fill="auto"/>
            <w:noWrap/>
            <w:vAlign w:val="bottom"/>
            <w:hideMark/>
          </w:tcPr>
          <w:p w14:paraId="0772C8AB" w14:textId="77777777" w:rsidR="004C78C0" w:rsidRPr="008D777B" w:rsidRDefault="004C78C0" w:rsidP="00654255">
            <w:pPr>
              <w:jc w:val="right"/>
              <w:rPr>
                <w:rFonts w:cstheme="minorHAnsi"/>
                <w:color w:val="000000"/>
                <w:sz w:val="16"/>
                <w:szCs w:val="16"/>
              </w:rPr>
            </w:pPr>
            <w:r w:rsidRPr="008D777B">
              <w:rPr>
                <w:color w:val="000000"/>
                <w:sz w:val="16"/>
              </w:rPr>
              <w:t>161,0</w:t>
            </w:r>
          </w:p>
        </w:tc>
        <w:tc>
          <w:tcPr>
            <w:tcW w:w="673" w:type="dxa"/>
            <w:tcBorders>
              <w:top w:val="nil"/>
              <w:left w:val="nil"/>
              <w:bottom w:val="single" w:sz="4" w:space="0" w:color="FFFFFF"/>
              <w:right w:val="nil"/>
            </w:tcBorders>
            <w:shd w:val="clear" w:color="auto" w:fill="auto"/>
            <w:noWrap/>
            <w:vAlign w:val="bottom"/>
            <w:hideMark/>
          </w:tcPr>
          <w:p w14:paraId="59890124" w14:textId="77777777" w:rsidR="004C78C0" w:rsidRPr="008D777B" w:rsidRDefault="004C78C0" w:rsidP="00654255">
            <w:pPr>
              <w:jc w:val="right"/>
              <w:rPr>
                <w:rFonts w:cstheme="minorHAnsi"/>
                <w:color w:val="000000"/>
                <w:sz w:val="16"/>
                <w:szCs w:val="16"/>
              </w:rPr>
            </w:pPr>
            <w:r w:rsidRPr="008D777B">
              <w:rPr>
                <w:color w:val="000000"/>
                <w:sz w:val="16"/>
              </w:rPr>
              <w:t>4,4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77FDA4AE"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1558F12C"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993DCAC" w14:textId="77777777" w:rsidR="004C78C0" w:rsidRPr="008D777B" w:rsidRDefault="004C78C0" w:rsidP="00654255">
            <w:pPr>
              <w:rPr>
                <w:rFonts w:cstheme="minorHAnsi"/>
                <w:color w:val="000000"/>
                <w:sz w:val="16"/>
                <w:szCs w:val="16"/>
              </w:rPr>
            </w:pPr>
            <w:r w:rsidRPr="008D777B">
              <w:rPr>
                <w:color w:val="000000"/>
                <w:sz w:val="16"/>
              </w:rPr>
              <w:t>Mexique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88566C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0C4FE9F" w14:textId="77777777" w:rsidR="004C78C0" w:rsidRPr="008D777B" w:rsidRDefault="004C78C0" w:rsidP="00654255">
            <w:pPr>
              <w:jc w:val="right"/>
              <w:rPr>
                <w:rFonts w:cstheme="minorHAnsi"/>
                <w:color w:val="000000"/>
                <w:sz w:val="16"/>
                <w:szCs w:val="16"/>
              </w:rPr>
            </w:pPr>
            <w:r w:rsidRPr="008D777B">
              <w:rPr>
                <w:color w:val="000000"/>
                <w:sz w:val="16"/>
              </w:rPr>
              <w:t>296,5</w:t>
            </w:r>
          </w:p>
        </w:tc>
        <w:tc>
          <w:tcPr>
            <w:tcW w:w="990" w:type="dxa"/>
            <w:tcBorders>
              <w:top w:val="nil"/>
              <w:left w:val="nil"/>
              <w:bottom w:val="single" w:sz="4" w:space="0" w:color="FFFFFF"/>
              <w:right w:val="single" w:sz="4" w:space="0" w:color="FFFFFF"/>
            </w:tcBorders>
            <w:shd w:val="clear" w:color="auto" w:fill="auto"/>
            <w:vAlign w:val="bottom"/>
            <w:hideMark/>
          </w:tcPr>
          <w:p w14:paraId="7068C5D1" w14:textId="77777777" w:rsidR="004C78C0" w:rsidRPr="008D777B" w:rsidRDefault="004C78C0" w:rsidP="00654255">
            <w:pPr>
              <w:jc w:val="right"/>
              <w:rPr>
                <w:rFonts w:cstheme="minorHAnsi"/>
                <w:color w:val="000000"/>
                <w:sz w:val="16"/>
                <w:szCs w:val="16"/>
              </w:rPr>
            </w:pPr>
            <w:r w:rsidRPr="008D777B">
              <w:rPr>
                <w:color w:val="000000"/>
                <w:sz w:val="16"/>
              </w:rPr>
              <w:t>169,9</w:t>
            </w:r>
          </w:p>
        </w:tc>
        <w:tc>
          <w:tcPr>
            <w:tcW w:w="673" w:type="dxa"/>
            <w:tcBorders>
              <w:top w:val="nil"/>
              <w:left w:val="nil"/>
              <w:bottom w:val="single" w:sz="4" w:space="0" w:color="FFFFFF"/>
              <w:right w:val="single" w:sz="4" w:space="0" w:color="auto"/>
            </w:tcBorders>
            <w:shd w:val="clear" w:color="auto" w:fill="auto"/>
            <w:noWrap/>
            <w:vAlign w:val="bottom"/>
            <w:hideMark/>
          </w:tcPr>
          <w:p w14:paraId="7E79DBA2" w14:textId="77777777" w:rsidR="004C78C0" w:rsidRPr="008D777B" w:rsidRDefault="004C78C0" w:rsidP="00654255">
            <w:pPr>
              <w:jc w:val="right"/>
              <w:rPr>
                <w:rFonts w:cstheme="minorHAnsi"/>
                <w:color w:val="000000"/>
                <w:sz w:val="16"/>
                <w:szCs w:val="16"/>
              </w:rPr>
            </w:pPr>
            <w:r w:rsidRPr="008D777B">
              <w:rPr>
                <w:color w:val="000000"/>
                <w:sz w:val="16"/>
              </w:rPr>
              <w:t>-42,7</w:t>
            </w:r>
          </w:p>
        </w:tc>
        <w:tc>
          <w:tcPr>
            <w:tcW w:w="829" w:type="dxa"/>
            <w:tcBorders>
              <w:top w:val="nil"/>
              <w:left w:val="nil"/>
              <w:bottom w:val="single" w:sz="4" w:space="0" w:color="FFFFFF"/>
              <w:right w:val="single" w:sz="4" w:space="0" w:color="FFFFFF"/>
            </w:tcBorders>
            <w:shd w:val="clear" w:color="auto" w:fill="auto"/>
            <w:noWrap/>
            <w:vAlign w:val="bottom"/>
            <w:hideMark/>
          </w:tcPr>
          <w:p w14:paraId="23EBC7AB"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757C1AA" w14:textId="77777777" w:rsidR="004C78C0" w:rsidRPr="008D777B" w:rsidRDefault="004C78C0" w:rsidP="00654255">
            <w:pPr>
              <w:jc w:val="right"/>
              <w:rPr>
                <w:rFonts w:cstheme="minorHAnsi"/>
                <w:color w:val="000000"/>
                <w:sz w:val="16"/>
                <w:szCs w:val="16"/>
              </w:rPr>
            </w:pPr>
            <w:r w:rsidRPr="008D777B">
              <w:rPr>
                <w:color w:val="000000"/>
                <w:sz w:val="16"/>
              </w:rPr>
              <w:t>313,0</w:t>
            </w:r>
          </w:p>
        </w:tc>
        <w:tc>
          <w:tcPr>
            <w:tcW w:w="854" w:type="dxa"/>
            <w:tcBorders>
              <w:top w:val="nil"/>
              <w:left w:val="nil"/>
              <w:bottom w:val="single" w:sz="4" w:space="0" w:color="FFFFFF"/>
              <w:right w:val="single" w:sz="4" w:space="0" w:color="FFFFFF"/>
            </w:tcBorders>
            <w:shd w:val="clear" w:color="auto" w:fill="auto"/>
            <w:noWrap/>
            <w:vAlign w:val="bottom"/>
            <w:hideMark/>
          </w:tcPr>
          <w:p w14:paraId="6CAD68BA" w14:textId="77777777" w:rsidR="004C78C0" w:rsidRPr="008D777B" w:rsidRDefault="004C78C0" w:rsidP="00654255">
            <w:pPr>
              <w:jc w:val="right"/>
              <w:rPr>
                <w:rFonts w:cstheme="minorHAnsi"/>
                <w:color w:val="000000"/>
                <w:sz w:val="16"/>
                <w:szCs w:val="16"/>
              </w:rPr>
            </w:pPr>
            <w:r w:rsidRPr="008D777B">
              <w:rPr>
                <w:color w:val="000000"/>
                <w:sz w:val="16"/>
              </w:rPr>
              <w:t>143,3</w:t>
            </w:r>
          </w:p>
        </w:tc>
        <w:tc>
          <w:tcPr>
            <w:tcW w:w="673" w:type="dxa"/>
            <w:tcBorders>
              <w:top w:val="nil"/>
              <w:left w:val="nil"/>
              <w:bottom w:val="single" w:sz="4" w:space="0" w:color="FFFFFF"/>
              <w:right w:val="nil"/>
            </w:tcBorders>
            <w:shd w:val="clear" w:color="auto" w:fill="auto"/>
            <w:noWrap/>
            <w:vAlign w:val="bottom"/>
            <w:hideMark/>
          </w:tcPr>
          <w:p w14:paraId="53979CD5" w14:textId="77777777" w:rsidR="004C78C0" w:rsidRPr="008D777B" w:rsidRDefault="004C78C0" w:rsidP="00654255">
            <w:pPr>
              <w:jc w:val="right"/>
              <w:rPr>
                <w:rFonts w:cstheme="minorHAnsi"/>
                <w:color w:val="000000"/>
                <w:sz w:val="16"/>
                <w:szCs w:val="16"/>
              </w:rPr>
            </w:pPr>
            <w:r w:rsidRPr="008D777B">
              <w:rPr>
                <w:color w:val="000000"/>
                <w:sz w:val="16"/>
              </w:rPr>
              <w:t>-54,2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7A687B8E" w14:textId="77777777" w:rsidR="004C78C0" w:rsidRPr="008D777B" w:rsidRDefault="004C78C0" w:rsidP="00654255">
            <w:pPr>
              <w:jc w:val="right"/>
              <w:rPr>
                <w:rFonts w:cstheme="minorHAnsi"/>
                <w:color w:val="000000"/>
                <w:sz w:val="16"/>
                <w:szCs w:val="16"/>
              </w:rPr>
            </w:pPr>
            <w:r w:rsidRPr="008D777B">
              <w:rPr>
                <w:color w:val="000000"/>
                <w:sz w:val="16"/>
              </w:rPr>
              <w:t>84,4</w:t>
            </w:r>
          </w:p>
        </w:tc>
      </w:tr>
      <w:tr w:rsidR="004C78C0" w:rsidRPr="008D777B" w14:paraId="7FC549BF"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1028DEC2" w14:textId="77777777" w:rsidR="004C78C0" w:rsidRPr="008D777B" w:rsidRDefault="004C78C0" w:rsidP="00654255">
            <w:pPr>
              <w:rPr>
                <w:rFonts w:cstheme="minorHAnsi"/>
                <w:color w:val="000000"/>
                <w:sz w:val="16"/>
                <w:szCs w:val="16"/>
              </w:rPr>
            </w:pPr>
            <w:r w:rsidRPr="008D777B">
              <w:rPr>
                <w:color w:val="000000"/>
                <w:sz w:val="16"/>
              </w:rPr>
              <w:t>Nigeria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AF66DAE"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ADA5E5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661F6F1"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673" w:type="dxa"/>
            <w:tcBorders>
              <w:top w:val="nil"/>
              <w:left w:val="nil"/>
              <w:bottom w:val="single" w:sz="4" w:space="0" w:color="FFFFFF"/>
              <w:right w:val="single" w:sz="4" w:space="0" w:color="auto"/>
            </w:tcBorders>
            <w:shd w:val="clear" w:color="auto" w:fill="auto"/>
            <w:noWrap/>
            <w:vAlign w:val="bottom"/>
            <w:hideMark/>
          </w:tcPr>
          <w:p w14:paraId="474B2C07"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29E4F66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FCD18BE" w14:textId="77777777" w:rsidR="004C78C0" w:rsidRPr="008D777B" w:rsidRDefault="004C78C0" w:rsidP="00654255">
            <w:pPr>
              <w:jc w:val="right"/>
              <w:rPr>
                <w:rFonts w:cstheme="minorHAnsi"/>
                <w:color w:val="000000"/>
                <w:sz w:val="16"/>
                <w:szCs w:val="16"/>
              </w:rPr>
            </w:pPr>
            <w:r w:rsidRPr="008D777B">
              <w:rPr>
                <w:color w:val="000000"/>
                <w:sz w:val="16"/>
              </w:rPr>
              <w:t>211,9</w:t>
            </w:r>
          </w:p>
        </w:tc>
        <w:tc>
          <w:tcPr>
            <w:tcW w:w="854" w:type="dxa"/>
            <w:tcBorders>
              <w:top w:val="nil"/>
              <w:left w:val="nil"/>
              <w:bottom w:val="single" w:sz="4" w:space="0" w:color="FFFFFF"/>
              <w:right w:val="single" w:sz="4" w:space="0" w:color="FFFFFF"/>
            </w:tcBorders>
            <w:shd w:val="clear" w:color="auto" w:fill="auto"/>
            <w:noWrap/>
            <w:vAlign w:val="bottom"/>
            <w:hideMark/>
          </w:tcPr>
          <w:p w14:paraId="0A3B16A1" w14:textId="77777777" w:rsidR="004C78C0" w:rsidRPr="008D777B" w:rsidRDefault="004C78C0" w:rsidP="00654255">
            <w:pPr>
              <w:jc w:val="right"/>
              <w:rPr>
                <w:rFonts w:cstheme="minorHAnsi"/>
                <w:color w:val="000000"/>
                <w:sz w:val="16"/>
                <w:szCs w:val="16"/>
              </w:rPr>
            </w:pPr>
            <w:r w:rsidRPr="008D777B">
              <w:rPr>
                <w:color w:val="000000"/>
                <w:sz w:val="16"/>
              </w:rPr>
              <w:t>141,1</w:t>
            </w:r>
          </w:p>
        </w:tc>
        <w:tc>
          <w:tcPr>
            <w:tcW w:w="673" w:type="dxa"/>
            <w:tcBorders>
              <w:top w:val="nil"/>
              <w:left w:val="nil"/>
              <w:bottom w:val="single" w:sz="4" w:space="0" w:color="FFFFFF"/>
              <w:right w:val="nil"/>
            </w:tcBorders>
            <w:shd w:val="clear" w:color="auto" w:fill="auto"/>
            <w:noWrap/>
            <w:vAlign w:val="bottom"/>
            <w:hideMark/>
          </w:tcPr>
          <w:p w14:paraId="17DFDDA8" w14:textId="77777777" w:rsidR="004C78C0" w:rsidRPr="008D777B" w:rsidRDefault="004C78C0" w:rsidP="00654255">
            <w:pPr>
              <w:jc w:val="right"/>
              <w:rPr>
                <w:rFonts w:cstheme="minorHAnsi"/>
                <w:color w:val="000000"/>
                <w:sz w:val="16"/>
                <w:szCs w:val="16"/>
              </w:rPr>
            </w:pPr>
            <w:r w:rsidRPr="008D777B">
              <w:rPr>
                <w:color w:val="000000"/>
                <w:sz w:val="16"/>
              </w:rPr>
              <w:t>-33,4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2472E3B" w14:textId="77777777" w:rsidR="004C78C0" w:rsidRPr="008D777B" w:rsidRDefault="004C78C0" w:rsidP="00654255">
            <w:pPr>
              <w:jc w:val="right"/>
              <w:rPr>
                <w:rFonts w:cstheme="minorHAnsi"/>
                <w:color w:val="000000"/>
                <w:sz w:val="16"/>
                <w:szCs w:val="16"/>
              </w:rPr>
            </w:pPr>
            <w:r w:rsidRPr="008D777B">
              <w:rPr>
                <w:color w:val="000000"/>
                <w:sz w:val="16"/>
              </w:rPr>
              <w:t>135.651,0</w:t>
            </w:r>
          </w:p>
        </w:tc>
      </w:tr>
      <w:tr w:rsidR="004C78C0" w:rsidRPr="008D777B" w14:paraId="3154EDE4"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EAB2D0F" w14:textId="77777777" w:rsidR="004C78C0" w:rsidRPr="008D777B" w:rsidRDefault="004C78C0" w:rsidP="00654255">
            <w:pPr>
              <w:rPr>
                <w:rFonts w:cstheme="minorHAnsi"/>
                <w:color w:val="000000"/>
                <w:sz w:val="16"/>
                <w:szCs w:val="16"/>
              </w:rPr>
            </w:pPr>
            <w:r w:rsidRPr="008D777B">
              <w:rPr>
                <w:color w:val="000000"/>
                <w:sz w:val="16"/>
              </w:rPr>
              <w:t>Royaume-Uni (Irlande du Nord)</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7EC6EF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46AD83E"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1F6B7C9" w14:textId="77777777" w:rsidR="004C78C0" w:rsidRPr="008D777B" w:rsidRDefault="004C78C0" w:rsidP="00654255">
            <w:pPr>
              <w:jc w:val="right"/>
              <w:rPr>
                <w:rFonts w:cstheme="minorHAnsi"/>
                <w:color w:val="000000"/>
                <w:sz w:val="16"/>
                <w:szCs w:val="16"/>
              </w:rPr>
            </w:pPr>
            <w:r w:rsidRPr="008D777B">
              <w:rPr>
                <w:color w:val="000000"/>
                <w:sz w:val="16"/>
              </w:rPr>
              <w:t>3,1</w:t>
            </w:r>
          </w:p>
        </w:tc>
        <w:tc>
          <w:tcPr>
            <w:tcW w:w="673" w:type="dxa"/>
            <w:tcBorders>
              <w:top w:val="nil"/>
              <w:left w:val="nil"/>
              <w:bottom w:val="single" w:sz="4" w:space="0" w:color="FFFFFF"/>
              <w:right w:val="single" w:sz="4" w:space="0" w:color="auto"/>
            </w:tcBorders>
            <w:shd w:val="clear" w:color="auto" w:fill="auto"/>
            <w:noWrap/>
            <w:vAlign w:val="bottom"/>
            <w:hideMark/>
          </w:tcPr>
          <w:p w14:paraId="20F57E20"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04F45EE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DE89BA1" w14:textId="77777777" w:rsidR="004C78C0" w:rsidRPr="008D777B" w:rsidRDefault="004C78C0" w:rsidP="00654255">
            <w:pPr>
              <w:jc w:val="right"/>
              <w:rPr>
                <w:rFonts w:cstheme="minorHAnsi"/>
                <w:color w:val="000000"/>
                <w:sz w:val="16"/>
                <w:szCs w:val="16"/>
              </w:rPr>
            </w:pPr>
            <w:r w:rsidRPr="008D777B">
              <w:rPr>
                <w:color w:val="000000"/>
                <w:sz w:val="16"/>
              </w:rPr>
              <w:t>210,4</w:t>
            </w:r>
          </w:p>
        </w:tc>
        <w:tc>
          <w:tcPr>
            <w:tcW w:w="854" w:type="dxa"/>
            <w:tcBorders>
              <w:top w:val="nil"/>
              <w:left w:val="nil"/>
              <w:bottom w:val="single" w:sz="4" w:space="0" w:color="FFFFFF"/>
              <w:right w:val="single" w:sz="4" w:space="0" w:color="FFFFFF"/>
            </w:tcBorders>
            <w:shd w:val="clear" w:color="auto" w:fill="auto"/>
            <w:noWrap/>
            <w:vAlign w:val="bottom"/>
            <w:hideMark/>
          </w:tcPr>
          <w:p w14:paraId="4FA74AAD" w14:textId="77777777" w:rsidR="004C78C0" w:rsidRPr="008D777B" w:rsidRDefault="004C78C0" w:rsidP="00654255">
            <w:pPr>
              <w:jc w:val="right"/>
              <w:rPr>
                <w:rFonts w:cstheme="minorHAnsi"/>
                <w:color w:val="000000"/>
                <w:sz w:val="16"/>
                <w:szCs w:val="16"/>
              </w:rPr>
            </w:pPr>
            <w:r w:rsidRPr="008D777B">
              <w:rPr>
                <w:color w:val="000000"/>
                <w:sz w:val="16"/>
              </w:rPr>
              <w:t>125,8</w:t>
            </w:r>
          </w:p>
        </w:tc>
        <w:tc>
          <w:tcPr>
            <w:tcW w:w="673" w:type="dxa"/>
            <w:tcBorders>
              <w:top w:val="nil"/>
              <w:left w:val="nil"/>
              <w:bottom w:val="single" w:sz="4" w:space="0" w:color="FFFFFF"/>
              <w:right w:val="nil"/>
            </w:tcBorders>
            <w:shd w:val="clear" w:color="auto" w:fill="auto"/>
            <w:noWrap/>
            <w:vAlign w:val="bottom"/>
            <w:hideMark/>
          </w:tcPr>
          <w:p w14:paraId="5FE8AADC" w14:textId="77777777" w:rsidR="004C78C0" w:rsidRPr="008D777B" w:rsidRDefault="004C78C0" w:rsidP="00654255">
            <w:pPr>
              <w:jc w:val="right"/>
              <w:rPr>
                <w:rFonts w:cstheme="minorHAnsi"/>
                <w:color w:val="000000"/>
                <w:sz w:val="16"/>
                <w:szCs w:val="16"/>
              </w:rPr>
            </w:pPr>
            <w:r w:rsidRPr="008D777B">
              <w:rPr>
                <w:color w:val="000000"/>
                <w:sz w:val="16"/>
              </w:rPr>
              <w:t>-40,2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7BEF95DB" w14:textId="77777777" w:rsidR="004C78C0" w:rsidRPr="008D777B" w:rsidRDefault="004C78C0" w:rsidP="00654255">
            <w:pPr>
              <w:jc w:val="right"/>
              <w:rPr>
                <w:rFonts w:cstheme="minorHAnsi"/>
                <w:color w:val="000000"/>
                <w:sz w:val="16"/>
                <w:szCs w:val="16"/>
              </w:rPr>
            </w:pPr>
            <w:r w:rsidRPr="008D777B">
              <w:rPr>
                <w:color w:val="000000"/>
                <w:sz w:val="16"/>
              </w:rPr>
              <w:t>4.065,9</w:t>
            </w:r>
          </w:p>
        </w:tc>
      </w:tr>
      <w:tr w:rsidR="004C78C0" w:rsidRPr="008D777B" w14:paraId="1FBB41D5"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2371D12" w14:textId="77777777" w:rsidR="004C78C0" w:rsidRPr="008D777B" w:rsidRDefault="004C78C0" w:rsidP="00654255">
            <w:pPr>
              <w:rPr>
                <w:rFonts w:cstheme="minorHAnsi"/>
                <w:color w:val="000000"/>
                <w:sz w:val="16"/>
                <w:szCs w:val="16"/>
              </w:rPr>
            </w:pPr>
            <w:r w:rsidRPr="008D777B">
              <w:rPr>
                <w:color w:val="000000"/>
                <w:sz w:val="16"/>
              </w:rPr>
              <w:t>Burkina Faso</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762FBD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B63C802" w14:textId="77777777" w:rsidR="004C78C0" w:rsidRPr="008D777B" w:rsidRDefault="004C78C0" w:rsidP="00654255">
            <w:pPr>
              <w:jc w:val="right"/>
              <w:rPr>
                <w:rFonts w:cstheme="minorHAnsi"/>
                <w:color w:val="000000"/>
                <w:sz w:val="16"/>
                <w:szCs w:val="16"/>
              </w:rPr>
            </w:pPr>
            <w:r w:rsidRPr="008D777B">
              <w:rPr>
                <w:color w:val="000000"/>
                <w:sz w:val="16"/>
              </w:rPr>
              <w:t>15,0</w:t>
            </w:r>
          </w:p>
        </w:tc>
        <w:tc>
          <w:tcPr>
            <w:tcW w:w="990" w:type="dxa"/>
            <w:tcBorders>
              <w:top w:val="nil"/>
              <w:left w:val="nil"/>
              <w:bottom w:val="single" w:sz="4" w:space="0" w:color="FFFFFF"/>
              <w:right w:val="single" w:sz="4" w:space="0" w:color="FFFFFF"/>
            </w:tcBorders>
            <w:shd w:val="clear" w:color="auto" w:fill="auto"/>
            <w:vAlign w:val="bottom"/>
            <w:hideMark/>
          </w:tcPr>
          <w:p w14:paraId="6DFCE651" w14:textId="77777777" w:rsidR="004C78C0" w:rsidRPr="008D777B" w:rsidRDefault="004C78C0" w:rsidP="00654255">
            <w:pPr>
              <w:jc w:val="right"/>
              <w:rPr>
                <w:rFonts w:cstheme="minorHAnsi"/>
                <w:color w:val="000000"/>
                <w:sz w:val="16"/>
                <w:szCs w:val="16"/>
              </w:rPr>
            </w:pPr>
            <w:r w:rsidRPr="008D777B">
              <w:rPr>
                <w:color w:val="000000"/>
                <w:sz w:val="16"/>
              </w:rPr>
              <w:t>7,0</w:t>
            </w:r>
          </w:p>
        </w:tc>
        <w:tc>
          <w:tcPr>
            <w:tcW w:w="673" w:type="dxa"/>
            <w:tcBorders>
              <w:top w:val="nil"/>
              <w:left w:val="nil"/>
              <w:bottom w:val="single" w:sz="4" w:space="0" w:color="FFFFFF"/>
              <w:right w:val="single" w:sz="4" w:space="0" w:color="auto"/>
            </w:tcBorders>
            <w:shd w:val="clear" w:color="auto" w:fill="auto"/>
            <w:noWrap/>
            <w:vAlign w:val="bottom"/>
            <w:hideMark/>
          </w:tcPr>
          <w:p w14:paraId="1A1C995B" w14:textId="77777777" w:rsidR="004C78C0" w:rsidRPr="008D777B" w:rsidRDefault="004C78C0" w:rsidP="00654255">
            <w:pPr>
              <w:jc w:val="right"/>
              <w:rPr>
                <w:rFonts w:cstheme="minorHAnsi"/>
                <w:color w:val="000000"/>
                <w:sz w:val="16"/>
                <w:szCs w:val="16"/>
              </w:rPr>
            </w:pPr>
            <w:r w:rsidRPr="008D777B">
              <w:rPr>
                <w:color w:val="000000"/>
                <w:sz w:val="16"/>
              </w:rPr>
              <w:t>-53,5</w:t>
            </w:r>
          </w:p>
        </w:tc>
        <w:tc>
          <w:tcPr>
            <w:tcW w:w="829" w:type="dxa"/>
            <w:tcBorders>
              <w:top w:val="nil"/>
              <w:left w:val="nil"/>
              <w:bottom w:val="single" w:sz="4" w:space="0" w:color="FFFFFF"/>
              <w:right w:val="single" w:sz="4" w:space="0" w:color="FFFFFF"/>
            </w:tcBorders>
            <w:shd w:val="clear" w:color="auto" w:fill="auto"/>
            <w:noWrap/>
            <w:vAlign w:val="bottom"/>
            <w:hideMark/>
          </w:tcPr>
          <w:p w14:paraId="5633E92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083BC95" w14:textId="77777777" w:rsidR="004C78C0" w:rsidRPr="008D777B" w:rsidRDefault="004C78C0" w:rsidP="00654255">
            <w:pPr>
              <w:jc w:val="right"/>
              <w:rPr>
                <w:rFonts w:cstheme="minorHAnsi"/>
                <w:color w:val="000000"/>
                <w:sz w:val="16"/>
                <w:szCs w:val="16"/>
              </w:rPr>
            </w:pPr>
            <w:r w:rsidRPr="008D777B">
              <w:rPr>
                <w:color w:val="000000"/>
                <w:sz w:val="16"/>
              </w:rPr>
              <w:t>40,7</w:t>
            </w:r>
          </w:p>
        </w:tc>
        <w:tc>
          <w:tcPr>
            <w:tcW w:w="854" w:type="dxa"/>
            <w:tcBorders>
              <w:top w:val="nil"/>
              <w:left w:val="nil"/>
              <w:bottom w:val="single" w:sz="4" w:space="0" w:color="FFFFFF"/>
              <w:right w:val="single" w:sz="4" w:space="0" w:color="FFFFFF"/>
            </w:tcBorders>
            <w:shd w:val="clear" w:color="auto" w:fill="auto"/>
            <w:noWrap/>
            <w:vAlign w:val="bottom"/>
            <w:hideMark/>
          </w:tcPr>
          <w:p w14:paraId="78E663F0" w14:textId="77777777" w:rsidR="004C78C0" w:rsidRPr="008D777B" w:rsidRDefault="004C78C0" w:rsidP="00654255">
            <w:pPr>
              <w:jc w:val="right"/>
              <w:rPr>
                <w:rFonts w:cstheme="minorHAnsi"/>
                <w:color w:val="000000"/>
                <w:sz w:val="16"/>
                <w:szCs w:val="16"/>
              </w:rPr>
            </w:pPr>
            <w:r w:rsidRPr="008D777B">
              <w:rPr>
                <w:color w:val="000000"/>
                <w:sz w:val="16"/>
              </w:rPr>
              <w:t>122,0</w:t>
            </w:r>
          </w:p>
        </w:tc>
        <w:tc>
          <w:tcPr>
            <w:tcW w:w="673" w:type="dxa"/>
            <w:tcBorders>
              <w:top w:val="nil"/>
              <w:left w:val="nil"/>
              <w:bottom w:val="single" w:sz="4" w:space="0" w:color="FFFFFF"/>
              <w:right w:val="nil"/>
            </w:tcBorders>
            <w:shd w:val="clear" w:color="auto" w:fill="auto"/>
            <w:noWrap/>
            <w:vAlign w:val="bottom"/>
            <w:hideMark/>
          </w:tcPr>
          <w:p w14:paraId="3994D6CA" w14:textId="77777777" w:rsidR="004C78C0" w:rsidRPr="008D777B" w:rsidRDefault="004C78C0" w:rsidP="00654255">
            <w:pPr>
              <w:jc w:val="right"/>
              <w:rPr>
                <w:rFonts w:cstheme="minorHAnsi"/>
                <w:color w:val="000000"/>
                <w:sz w:val="16"/>
                <w:szCs w:val="16"/>
              </w:rPr>
            </w:pPr>
            <w:r w:rsidRPr="008D777B">
              <w:rPr>
                <w:color w:val="000000"/>
                <w:sz w:val="16"/>
              </w:rPr>
              <w:t>200,0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E00CCBD" w14:textId="77777777" w:rsidR="004C78C0" w:rsidRPr="008D777B" w:rsidRDefault="004C78C0" w:rsidP="00654255">
            <w:pPr>
              <w:jc w:val="right"/>
              <w:rPr>
                <w:rFonts w:cstheme="minorHAnsi"/>
                <w:color w:val="000000"/>
                <w:sz w:val="16"/>
                <w:szCs w:val="16"/>
              </w:rPr>
            </w:pPr>
            <w:r w:rsidRPr="008D777B">
              <w:rPr>
                <w:color w:val="000000"/>
                <w:sz w:val="16"/>
              </w:rPr>
              <w:t>1.748,7</w:t>
            </w:r>
          </w:p>
        </w:tc>
      </w:tr>
      <w:tr w:rsidR="004C78C0" w:rsidRPr="008D777B" w14:paraId="675E489D"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DD953AE" w14:textId="77777777" w:rsidR="004C78C0" w:rsidRPr="008D777B" w:rsidRDefault="004C78C0" w:rsidP="00654255">
            <w:pPr>
              <w:rPr>
                <w:rFonts w:cstheme="minorHAnsi"/>
                <w:color w:val="000000"/>
                <w:sz w:val="16"/>
                <w:szCs w:val="16"/>
              </w:rPr>
            </w:pPr>
            <w:r w:rsidRPr="008D777B">
              <w:rPr>
                <w:color w:val="000000"/>
                <w:sz w:val="16"/>
              </w:rPr>
              <w:t>Serbie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56C291B" w14:textId="77777777" w:rsidR="004C78C0" w:rsidRPr="008D777B" w:rsidRDefault="004C78C0" w:rsidP="00654255">
            <w:pPr>
              <w:jc w:val="right"/>
              <w:rPr>
                <w:rFonts w:cstheme="minorHAnsi"/>
                <w:color w:val="000000"/>
                <w:sz w:val="16"/>
                <w:szCs w:val="16"/>
              </w:rPr>
            </w:pPr>
            <w:r w:rsidRPr="008D777B">
              <w:rPr>
                <w:color w:val="000000"/>
                <w:sz w:val="16"/>
              </w:rPr>
              <w:t>0,6</w:t>
            </w:r>
          </w:p>
        </w:tc>
        <w:tc>
          <w:tcPr>
            <w:tcW w:w="990" w:type="dxa"/>
            <w:tcBorders>
              <w:top w:val="nil"/>
              <w:left w:val="nil"/>
              <w:bottom w:val="single" w:sz="4" w:space="0" w:color="FFFFFF"/>
              <w:right w:val="single" w:sz="4" w:space="0" w:color="FFFFFF"/>
            </w:tcBorders>
            <w:shd w:val="clear" w:color="auto" w:fill="auto"/>
            <w:vAlign w:val="bottom"/>
            <w:hideMark/>
          </w:tcPr>
          <w:p w14:paraId="6171C40D" w14:textId="77777777" w:rsidR="004C78C0" w:rsidRPr="008D777B" w:rsidRDefault="004C78C0" w:rsidP="00654255">
            <w:pPr>
              <w:jc w:val="right"/>
              <w:rPr>
                <w:rFonts w:cstheme="minorHAnsi"/>
                <w:color w:val="000000"/>
                <w:sz w:val="16"/>
                <w:szCs w:val="16"/>
              </w:rPr>
            </w:pPr>
            <w:r w:rsidRPr="008D777B">
              <w:rPr>
                <w:color w:val="000000"/>
                <w:sz w:val="16"/>
              </w:rPr>
              <w:t>6.171,5</w:t>
            </w:r>
          </w:p>
        </w:tc>
        <w:tc>
          <w:tcPr>
            <w:tcW w:w="990" w:type="dxa"/>
            <w:tcBorders>
              <w:top w:val="nil"/>
              <w:left w:val="nil"/>
              <w:bottom w:val="single" w:sz="4" w:space="0" w:color="FFFFFF"/>
              <w:right w:val="single" w:sz="4" w:space="0" w:color="FFFFFF"/>
            </w:tcBorders>
            <w:shd w:val="clear" w:color="auto" w:fill="auto"/>
            <w:vAlign w:val="bottom"/>
            <w:hideMark/>
          </w:tcPr>
          <w:p w14:paraId="647B1F5B" w14:textId="77777777" w:rsidR="004C78C0" w:rsidRPr="008D777B" w:rsidRDefault="004C78C0" w:rsidP="00654255">
            <w:pPr>
              <w:jc w:val="right"/>
              <w:rPr>
                <w:rFonts w:cstheme="minorHAnsi"/>
                <w:color w:val="000000"/>
                <w:sz w:val="16"/>
                <w:szCs w:val="16"/>
              </w:rPr>
            </w:pPr>
            <w:r w:rsidRPr="008D777B">
              <w:rPr>
                <w:color w:val="000000"/>
                <w:sz w:val="16"/>
              </w:rPr>
              <w:t>8.173,5</w:t>
            </w:r>
          </w:p>
        </w:tc>
        <w:tc>
          <w:tcPr>
            <w:tcW w:w="673" w:type="dxa"/>
            <w:tcBorders>
              <w:top w:val="nil"/>
              <w:left w:val="nil"/>
              <w:bottom w:val="single" w:sz="4" w:space="0" w:color="FFFFFF"/>
              <w:right w:val="single" w:sz="4" w:space="0" w:color="auto"/>
            </w:tcBorders>
            <w:shd w:val="clear" w:color="auto" w:fill="auto"/>
            <w:noWrap/>
            <w:vAlign w:val="bottom"/>
            <w:hideMark/>
          </w:tcPr>
          <w:p w14:paraId="626ED0D4" w14:textId="77777777" w:rsidR="004C78C0" w:rsidRPr="008D777B" w:rsidRDefault="004C78C0" w:rsidP="00654255">
            <w:pPr>
              <w:jc w:val="right"/>
              <w:rPr>
                <w:rFonts w:cstheme="minorHAnsi"/>
                <w:color w:val="000000"/>
                <w:sz w:val="16"/>
                <w:szCs w:val="16"/>
              </w:rPr>
            </w:pPr>
            <w:r w:rsidRPr="008D777B">
              <w:rPr>
                <w:color w:val="000000"/>
                <w:sz w:val="16"/>
              </w:rPr>
              <w:t>32,4</w:t>
            </w:r>
          </w:p>
        </w:tc>
        <w:tc>
          <w:tcPr>
            <w:tcW w:w="829" w:type="dxa"/>
            <w:tcBorders>
              <w:top w:val="nil"/>
              <w:left w:val="nil"/>
              <w:bottom w:val="single" w:sz="4" w:space="0" w:color="FFFFFF"/>
              <w:right w:val="single" w:sz="4" w:space="0" w:color="FFFFFF"/>
            </w:tcBorders>
            <w:shd w:val="clear" w:color="auto" w:fill="auto"/>
            <w:noWrap/>
            <w:vAlign w:val="bottom"/>
            <w:hideMark/>
          </w:tcPr>
          <w:p w14:paraId="504E4F0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673981BF" w14:textId="77777777" w:rsidR="004C78C0" w:rsidRPr="008D777B" w:rsidRDefault="004C78C0" w:rsidP="00654255">
            <w:pPr>
              <w:jc w:val="right"/>
              <w:rPr>
                <w:rFonts w:cstheme="minorHAnsi"/>
                <w:color w:val="000000"/>
                <w:sz w:val="16"/>
                <w:szCs w:val="16"/>
              </w:rPr>
            </w:pPr>
            <w:r w:rsidRPr="008D777B">
              <w:rPr>
                <w:color w:val="000000"/>
                <w:sz w:val="16"/>
              </w:rPr>
              <w:t>103,3</w:t>
            </w:r>
          </w:p>
        </w:tc>
        <w:tc>
          <w:tcPr>
            <w:tcW w:w="854" w:type="dxa"/>
            <w:tcBorders>
              <w:top w:val="nil"/>
              <w:left w:val="nil"/>
              <w:bottom w:val="single" w:sz="4" w:space="0" w:color="FFFFFF"/>
              <w:right w:val="single" w:sz="4" w:space="0" w:color="FFFFFF"/>
            </w:tcBorders>
            <w:shd w:val="clear" w:color="auto" w:fill="auto"/>
            <w:noWrap/>
            <w:vAlign w:val="bottom"/>
            <w:hideMark/>
          </w:tcPr>
          <w:p w14:paraId="243378EB" w14:textId="77777777" w:rsidR="004C78C0" w:rsidRPr="008D777B" w:rsidRDefault="004C78C0" w:rsidP="00654255">
            <w:pPr>
              <w:jc w:val="right"/>
              <w:rPr>
                <w:rFonts w:cstheme="minorHAnsi"/>
                <w:color w:val="000000"/>
                <w:sz w:val="16"/>
                <w:szCs w:val="16"/>
              </w:rPr>
            </w:pPr>
            <w:r w:rsidRPr="008D777B">
              <w:rPr>
                <w:color w:val="000000"/>
                <w:sz w:val="16"/>
              </w:rPr>
              <w:t>102,2</w:t>
            </w:r>
          </w:p>
        </w:tc>
        <w:tc>
          <w:tcPr>
            <w:tcW w:w="673" w:type="dxa"/>
            <w:tcBorders>
              <w:top w:val="nil"/>
              <w:left w:val="nil"/>
              <w:bottom w:val="single" w:sz="4" w:space="0" w:color="FFFFFF"/>
              <w:right w:val="nil"/>
            </w:tcBorders>
            <w:shd w:val="clear" w:color="auto" w:fill="auto"/>
            <w:noWrap/>
            <w:vAlign w:val="bottom"/>
            <w:hideMark/>
          </w:tcPr>
          <w:p w14:paraId="65B2A4DD" w14:textId="77777777" w:rsidR="004C78C0" w:rsidRPr="008D777B" w:rsidRDefault="004C78C0" w:rsidP="00654255">
            <w:pPr>
              <w:jc w:val="right"/>
              <w:rPr>
                <w:rFonts w:cstheme="minorHAnsi"/>
                <w:color w:val="000000"/>
                <w:sz w:val="16"/>
                <w:szCs w:val="16"/>
              </w:rPr>
            </w:pPr>
            <w:r w:rsidRPr="008D777B">
              <w:rPr>
                <w:color w:val="000000"/>
                <w:sz w:val="16"/>
              </w:rPr>
              <w:t>-1,1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16B95CB" w14:textId="77777777" w:rsidR="004C78C0" w:rsidRPr="008D777B" w:rsidRDefault="004C78C0" w:rsidP="00654255">
            <w:pPr>
              <w:jc w:val="right"/>
              <w:rPr>
                <w:rFonts w:cstheme="minorHAnsi"/>
                <w:color w:val="000000"/>
                <w:sz w:val="16"/>
                <w:szCs w:val="16"/>
              </w:rPr>
            </w:pPr>
            <w:r w:rsidRPr="008D777B">
              <w:rPr>
                <w:color w:val="000000"/>
                <w:sz w:val="16"/>
              </w:rPr>
              <w:t>1,3</w:t>
            </w:r>
          </w:p>
        </w:tc>
      </w:tr>
      <w:tr w:rsidR="004C78C0" w:rsidRPr="008D777B" w14:paraId="77B2C429"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7148DE5" w14:textId="77777777" w:rsidR="004C78C0" w:rsidRPr="008D777B" w:rsidRDefault="004C78C0" w:rsidP="00654255">
            <w:pPr>
              <w:rPr>
                <w:rFonts w:cstheme="minorHAnsi"/>
                <w:color w:val="000000"/>
                <w:sz w:val="16"/>
                <w:szCs w:val="16"/>
              </w:rPr>
            </w:pPr>
            <w:r w:rsidRPr="008D777B">
              <w:rPr>
                <w:color w:val="000000"/>
                <w:sz w:val="16"/>
              </w:rPr>
              <w:t>Angola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A94626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98F1B6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21BE58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13428B4C"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7AE6AF1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7ED8B077" w14:textId="77777777" w:rsidR="004C78C0" w:rsidRPr="008D777B" w:rsidRDefault="004C78C0" w:rsidP="00654255">
            <w:pPr>
              <w:jc w:val="right"/>
              <w:rPr>
                <w:rFonts w:cstheme="minorHAnsi"/>
                <w:color w:val="000000"/>
                <w:sz w:val="16"/>
                <w:szCs w:val="16"/>
              </w:rPr>
            </w:pPr>
            <w:r w:rsidRPr="008D777B">
              <w:rPr>
                <w:color w:val="000000"/>
                <w:sz w:val="16"/>
              </w:rPr>
              <w:t>278,6</w:t>
            </w:r>
          </w:p>
        </w:tc>
        <w:tc>
          <w:tcPr>
            <w:tcW w:w="854" w:type="dxa"/>
            <w:tcBorders>
              <w:top w:val="nil"/>
              <w:left w:val="nil"/>
              <w:bottom w:val="single" w:sz="4" w:space="0" w:color="FFFFFF"/>
              <w:right w:val="single" w:sz="4" w:space="0" w:color="FFFFFF"/>
            </w:tcBorders>
            <w:shd w:val="clear" w:color="auto" w:fill="auto"/>
            <w:noWrap/>
            <w:vAlign w:val="bottom"/>
            <w:hideMark/>
          </w:tcPr>
          <w:p w14:paraId="59F6C9A1" w14:textId="77777777" w:rsidR="004C78C0" w:rsidRPr="008D777B" w:rsidRDefault="004C78C0" w:rsidP="00654255">
            <w:pPr>
              <w:jc w:val="right"/>
              <w:rPr>
                <w:rFonts w:cstheme="minorHAnsi"/>
                <w:color w:val="000000"/>
                <w:sz w:val="16"/>
                <w:szCs w:val="16"/>
              </w:rPr>
            </w:pPr>
            <w:r w:rsidRPr="008D777B">
              <w:rPr>
                <w:color w:val="000000"/>
                <w:sz w:val="16"/>
              </w:rPr>
              <w:t>100,3</w:t>
            </w:r>
          </w:p>
        </w:tc>
        <w:tc>
          <w:tcPr>
            <w:tcW w:w="673" w:type="dxa"/>
            <w:tcBorders>
              <w:top w:val="nil"/>
              <w:left w:val="nil"/>
              <w:bottom w:val="single" w:sz="4" w:space="0" w:color="FFFFFF"/>
              <w:right w:val="nil"/>
            </w:tcBorders>
            <w:shd w:val="clear" w:color="auto" w:fill="auto"/>
            <w:noWrap/>
            <w:vAlign w:val="bottom"/>
            <w:hideMark/>
          </w:tcPr>
          <w:p w14:paraId="6BA1FDD4" w14:textId="77777777" w:rsidR="004C78C0" w:rsidRPr="008D777B" w:rsidRDefault="004C78C0" w:rsidP="00654255">
            <w:pPr>
              <w:jc w:val="right"/>
              <w:rPr>
                <w:rFonts w:cstheme="minorHAnsi"/>
                <w:color w:val="000000"/>
                <w:sz w:val="16"/>
                <w:szCs w:val="16"/>
              </w:rPr>
            </w:pPr>
            <w:r w:rsidRPr="008D777B">
              <w:rPr>
                <w:color w:val="000000"/>
                <w:sz w:val="16"/>
              </w:rPr>
              <w:t>-64,0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0938DC6"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71F4F05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01C53EE" w14:textId="77777777" w:rsidR="004C78C0" w:rsidRPr="008D777B" w:rsidRDefault="004C78C0" w:rsidP="00654255">
            <w:pPr>
              <w:rPr>
                <w:rFonts w:cstheme="minorHAnsi"/>
                <w:color w:val="000000"/>
                <w:sz w:val="16"/>
                <w:szCs w:val="16"/>
              </w:rPr>
            </w:pPr>
            <w:r w:rsidRPr="008D777B">
              <w:rPr>
                <w:color w:val="000000"/>
                <w:sz w:val="16"/>
              </w:rPr>
              <w:t>Mali</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9CC8ED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7902BC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0ECB708"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673" w:type="dxa"/>
            <w:tcBorders>
              <w:top w:val="nil"/>
              <w:left w:val="nil"/>
              <w:bottom w:val="single" w:sz="4" w:space="0" w:color="FFFFFF"/>
              <w:right w:val="single" w:sz="4" w:space="0" w:color="auto"/>
            </w:tcBorders>
            <w:shd w:val="clear" w:color="auto" w:fill="auto"/>
            <w:noWrap/>
            <w:vAlign w:val="bottom"/>
            <w:hideMark/>
          </w:tcPr>
          <w:p w14:paraId="04366ECC"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3745472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77C6673F" w14:textId="77777777" w:rsidR="004C78C0" w:rsidRPr="008D777B" w:rsidRDefault="004C78C0" w:rsidP="00654255">
            <w:pPr>
              <w:jc w:val="right"/>
              <w:rPr>
                <w:rFonts w:cstheme="minorHAnsi"/>
                <w:color w:val="000000"/>
                <w:sz w:val="16"/>
                <w:szCs w:val="16"/>
              </w:rPr>
            </w:pPr>
            <w:r w:rsidRPr="008D777B">
              <w:rPr>
                <w:color w:val="000000"/>
                <w:sz w:val="16"/>
              </w:rPr>
              <w:t>30,1</w:t>
            </w:r>
          </w:p>
        </w:tc>
        <w:tc>
          <w:tcPr>
            <w:tcW w:w="854" w:type="dxa"/>
            <w:tcBorders>
              <w:top w:val="nil"/>
              <w:left w:val="nil"/>
              <w:bottom w:val="single" w:sz="4" w:space="0" w:color="FFFFFF"/>
              <w:right w:val="single" w:sz="4" w:space="0" w:color="FFFFFF"/>
            </w:tcBorders>
            <w:shd w:val="clear" w:color="auto" w:fill="auto"/>
            <w:noWrap/>
            <w:vAlign w:val="bottom"/>
            <w:hideMark/>
          </w:tcPr>
          <w:p w14:paraId="1173C6D0" w14:textId="77777777" w:rsidR="004C78C0" w:rsidRPr="008D777B" w:rsidRDefault="004C78C0" w:rsidP="00654255">
            <w:pPr>
              <w:jc w:val="right"/>
              <w:rPr>
                <w:rFonts w:cstheme="minorHAnsi"/>
                <w:color w:val="000000"/>
                <w:sz w:val="16"/>
                <w:szCs w:val="16"/>
              </w:rPr>
            </w:pPr>
            <w:r w:rsidRPr="008D777B">
              <w:rPr>
                <w:color w:val="000000"/>
                <w:sz w:val="16"/>
              </w:rPr>
              <w:t>99,9</w:t>
            </w:r>
          </w:p>
        </w:tc>
        <w:tc>
          <w:tcPr>
            <w:tcW w:w="673" w:type="dxa"/>
            <w:tcBorders>
              <w:top w:val="nil"/>
              <w:left w:val="nil"/>
              <w:bottom w:val="single" w:sz="4" w:space="0" w:color="FFFFFF"/>
              <w:right w:val="nil"/>
            </w:tcBorders>
            <w:shd w:val="clear" w:color="auto" w:fill="auto"/>
            <w:noWrap/>
            <w:vAlign w:val="bottom"/>
            <w:hideMark/>
          </w:tcPr>
          <w:p w14:paraId="219ED4D5" w14:textId="77777777" w:rsidR="004C78C0" w:rsidRPr="008D777B" w:rsidRDefault="004C78C0" w:rsidP="00654255">
            <w:pPr>
              <w:jc w:val="right"/>
              <w:rPr>
                <w:rFonts w:cstheme="minorHAnsi"/>
                <w:color w:val="000000"/>
                <w:sz w:val="16"/>
                <w:szCs w:val="16"/>
              </w:rPr>
            </w:pPr>
            <w:r w:rsidRPr="008D777B">
              <w:rPr>
                <w:color w:val="000000"/>
                <w:sz w:val="16"/>
              </w:rPr>
              <w:t>232,0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557BCDA" w14:textId="77777777" w:rsidR="004C78C0" w:rsidRPr="008D777B" w:rsidRDefault="004C78C0" w:rsidP="00654255">
            <w:pPr>
              <w:jc w:val="right"/>
              <w:rPr>
                <w:rFonts w:cstheme="minorHAnsi"/>
                <w:color w:val="000000"/>
                <w:sz w:val="16"/>
                <w:szCs w:val="16"/>
              </w:rPr>
            </w:pPr>
            <w:r w:rsidRPr="008D777B">
              <w:rPr>
                <w:color w:val="000000"/>
                <w:sz w:val="16"/>
              </w:rPr>
              <w:t>46.247,2</w:t>
            </w:r>
          </w:p>
        </w:tc>
      </w:tr>
      <w:tr w:rsidR="004C78C0" w:rsidRPr="008D777B" w14:paraId="29D46E55"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CB5A1E2" w14:textId="77777777" w:rsidR="004C78C0" w:rsidRPr="008D777B" w:rsidRDefault="004C78C0" w:rsidP="00654255">
            <w:pPr>
              <w:rPr>
                <w:rFonts w:cstheme="minorHAnsi"/>
                <w:color w:val="000000"/>
                <w:sz w:val="16"/>
                <w:szCs w:val="16"/>
              </w:rPr>
            </w:pPr>
            <w:r w:rsidRPr="008D777B">
              <w:rPr>
                <w:color w:val="000000"/>
                <w:sz w:val="16"/>
              </w:rPr>
              <w:t>Kenya</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F10383D"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C4A4D8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98D3E48"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673" w:type="dxa"/>
            <w:tcBorders>
              <w:top w:val="nil"/>
              <w:left w:val="nil"/>
              <w:bottom w:val="single" w:sz="4" w:space="0" w:color="FFFFFF"/>
              <w:right w:val="single" w:sz="4" w:space="0" w:color="auto"/>
            </w:tcBorders>
            <w:shd w:val="clear" w:color="auto" w:fill="auto"/>
            <w:noWrap/>
            <w:vAlign w:val="bottom"/>
            <w:hideMark/>
          </w:tcPr>
          <w:p w14:paraId="3A9B554E"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742462A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2E8BDC4" w14:textId="77777777" w:rsidR="004C78C0" w:rsidRPr="008D777B" w:rsidRDefault="004C78C0" w:rsidP="00654255">
            <w:pPr>
              <w:jc w:val="right"/>
              <w:rPr>
                <w:rFonts w:cstheme="minorHAnsi"/>
                <w:color w:val="000000"/>
                <w:sz w:val="16"/>
                <w:szCs w:val="16"/>
              </w:rPr>
            </w:pPr>
            <w:r w:rsidRPr="008D777B">
              <w:rPr>
                <w:color w:val="000000"/>
                <w:sz w:val="16"/>
              </w:rPr>
              <w:t>172,4</w:t>
            </w:r>
          </w:p>
        </w:tc>
        <w:tc>
          <w:tcPr>
            <w:tcW w:w="854" w:type="dxa"/>
            <w:tcBorders>
              <w:top w:val="nil"/>
              <w:left w:val="nil"/>
              <w:bottom w:val="single" w:sz="4" w:space="0" w:color="FFFFFF"/>
              <w:right w:val="single" w:sz="4" w:space="0" w:color="FFFFFF"/>
            </w:tcBorders>
            <w:shd w:val="clear" w:color="auto" w:fill="auto"/>
            <w:noWrap/>
            <w:vAlign w:val="bottom"/>
            <w:hideMark/>
          </w:tcPr>
          <w:p w14:paraId="25C4C4AC" w14:textId="77777777" w:rsidR="004C78C0" w:rsidRPr="008D777B" w:rsidRDefault="004C78C0" w:rsidP="00654255">
            <w:pPr>
              <w:jc w:val="right"/>
              <w:rPr>
                <w:rFonts w:cstheme="minorHAnsi"/>
                <w:color w:val="000000"/>
                <w:sz w:val="16"/>
                <w:szCs w:val="16"/>
              </w:rPr>
            </w:pPr>
            <w:r w:rsidRPr="008D777B">
              <w:rPr>
                <w:color w:val="000000"/>
                <w:sz w:val="16"/>
              </w:rPr>
              <w:t>94,4</w:t>
            </w:r>
          </w:p>
        </w:tc>
        <w:tc>
          <w:tcPr>
            <w:tcW w:w="673" w:type="dxa"/>
            <w:tcBorders>
              <w:top w:val="nil"/>
              <w:left w:val="nil"/>
              <w:bottom w:val="single" w:sz="4" w:space="0" w:color="FFFFFF"/>
              <w:right w:val="nil"/>
            </w:tcBorders>
            <w:shd w:val="clear" w:color="auto" w:fill="auto"/>
            <w:noWrap/>
            <w:vAlign w:val="bottom"/>
            <w:hideMark/>
          </w:tcPr>
          <w:p w14:paraId="08B9C45E" w14:textId="77777777" w:rsidR="004C78C0" w:rsidRPr="008D777B" w:rsidRDefault="004C78C0" w:rsidP="00654255">
            <w:pPr>
              <w:jc w:val="right"/>
              <w:rPr>
                <w:rFonts w:cstheme="minorHAnsi"/>
                <w:color w:val="000000"/>
                <w:sz w:val="16"/>
                <w:szCs w:val="16"/>
              </w:rPr>
            </w:pPr>
            <w:r w:rsidRPr="008D777B">
              <w:rPr>
                <w:color w:val="000000"/>
                <w:sz w:val="16"/>
              </w:rPr>
              <w:t>-45,2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9AF015F" w14:textId="77777777" w:rsidR="004C78C0" w:rsidRPr="008D777B" w:rsidRDefault="004C78C0" w:rsidP="00654255">
            <w:pPr>
              <w:jc w:val="right"/>
              <w:rPr>
                <w:rFonts w:cstheme="minorHAnsi"/>
                <w:color w:val="000000"/>
                <w:sz w:val="16"/>
                <w:szCs w:val="16"/>
              </w:rPr>
            </w:pPr>
            <w:r w:rsidRPr="008D777B">
              <w:rPr>
                <w:color w:val="000000"/>
                <w:sz w:val="16"/>
              </w:rPr>
              <w:t>88.215,9</w:t>
            </w:r>
          </w:p>
        </w:tc>
      </w:tr>
      <w:tr w:rsidR="004C78C0" w:rsidRPr="008D777B" w14:paraId="1630320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5997E08" w14:textId="77777777" w:rsidR="004C78C0" w:rsidRPr="008D777B" w:rsidRDefault="004C78C0" w:rsidP="00654255">
            <w:pPr>
              <w:rPr>
                <w:rFonts w:cstheme="minorHAnsi"/>
                <w:color w:val="000000"/>
                <w:sz w:val="16"/>
                <w:szCs w:val="16"/>
              </w:rPr>
            </w:pPr>
            <w:r w:rsidRPr="008D777B">
              <w:rPr>
                <w:color w:val="000000"/>
                <w:sz w:val="16"/>
              </w:rPr>
              <w:t>Maurice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C84D9D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FA6CEC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D57538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6A2C3476"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3CE58B9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D287825" w14:textId="77777777" w:rsidR="004C78C0" w:rsidRPr="008D777B" w:rsidRDefault="004C78C0" w:rsidP="00654255">
            <w:pPr>
              <w:jc w:val="right"/>
              <w:rPr>
                <w:rFonts w:cstheme="minorHAnsi"/>
                <w:color w:val="000000"/>
                <w:sz w:val="16"/>
                <w:szCs w:val="16"/>
              </w:rPr>
            </w:pPr>
            <w:r w:rsidRPr="008D777B">
              <w:rPr>
                <w:color w:val="000000"/>
                <w:sz w:val="16"/>
              </w:rPr>
              <w:t>102,1</w:t>
            </w:r>
          </w:p>
        </w:tc>
        <w:tc>
          <w:tcPr>
            <w:tcW w:w="854" w:type="dxa"/>
            <w:tcBorders>
              <w:top w:val="nil"/>
              <w:left w:val="nil"/>
              <w:bottom w:val="single" w:sz="4" w:space="0" w:color="FFFFFF"/>
              <w:right w:val="single" w:sz="4" w:space="0" w:color="FFFFFF"/>
            </w:tcBorders>
            <w:shd w:val="clear" w:color="auto" w:fill="auto"/>
            <w:noWrap/>
            <w:vAlign w:val="bottom"/>
            <w:hideMark/>
          </w:tcPr>
          <w:p w14:paraId="2495F2F1" w14:textId="77777777" w:rsidR="004C78C0" w:rsidRPr="008D777B" w:rsidRDefault="004C78C0" w:rsidP="00654255">
            <w:pPr>
              <w:jc w:val="right"/>
              <w:rPr>
                <w:rFonts w:cstheme="minorHAnsi"/>
                <w:color w:val="000000"/>
                <w:sz w:val="16"/>
                <w:szCs w:val="16"/>
              </w:rPr>
            </w:pPr>
            <w:r w:rsidRPr="008D777B">
              <w:rPr>
                <w:color w:val="000000"/>
                <w:sz w:val="16"/>
              </w:rPr>
              <w:t>92,4</w:t>
            </w:r>
          </w:p>
        </w:tc>
        <w:tc>
          <w:tcPr>
            <w:tcW w:w="673" w:type="dxa"/>
            <w:tcBorders>
              <w:top w:val="nil"/>
              <w:left w:val="nil"/>
              <w:bottom w:val="single" w:sz="4" w:space="0" w:color="FFFFFF"/>
              <w:right w:val="nil"/>
            </w:tcBorders>
            <w:shd w:val="clear" w:color="auto" w:fill="auto"/>
            <w:noWrap/>
            <w:vAlign w:val="bottom"/>
            <w:hideMark/>
          </w:tcPr>
          <w:p w14:paraId="2795D6AD" w14:textId="77777777" w:rsidR="004C78C0" w:rsidRPr="008D777B" w:rsidRDefault="004C78C0" w:rsidP="00654255">
            <w:pPr>
              <w:jc w:val="right"/>
              <w:rPr>
                <w:rFonts w:cstheme="minorHAnsi"/>
                <w:color w:val="000000"/>
                <w:sz w:val="16"/>
                <w:szCs w:val="16"/>
              </w:rPr>
            </w:pPr>
            <w:r w:rsidRPr="008D777B">
              <w:rPr>
                <w:color w:val="000000"/>
                <w:sz w:val="16"/>
              </w:rPr>
              <w:t>-9,6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3A597D7F"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1381649E"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1FBF58F" w14:textId="77777777" w:rsidR="004C78C0" w:rsidRPr="008D777B" w:rsidRDefault="004C78C0" w:rsidP="00654255">
            <w:pPr>
              <w:rPr>
                <w:rFonts w:cstheme="minorHAnsi"/>
                <w:color w:val="000000"/>
                <w:sz w:val="16"/>
                <w:szCs w:val="16"/>
              </w:rPr>
            </w:pPr>
            <w:r w:rsidRPr="008D777B">
              <w:rPr>
                <w:color w:val="000000"/>
                <w:sz w:val="16"/>
              </w:rPr>
              <w:t>Bermudes</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A083F9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97BAEF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8F3F4EC" w14:textId="77777777" w:rsidR="004C78C0" w:rsidRPr="008D777B" w:rsidRDefault="004C78C0" w:rsidP="00654255">
            <w:pPr>
              <w:jc w:val="right"/>
              <w:rPr>
                <w:rFonts w:cstheme="minorHAnsi"/>
                <w:color w:val="000000"/>
                <w:sz w:val="16"/>
                <w:szCs w:val="16"/>
              </w:rPr>
            </w:pPr>
            <w:r w:rsidRPr="008D777B">
              <w:rPr>
                <w:color w:val="000000"/>
                <w:sz w:val="16"/>
              </w:rPr>
              <w:t>0,2</w:t>
            </w:r>
          </w:p>
        </w:tc>
        <w:tc>
          <w:tcPr>
            <w:tcW w:w="673" w:type="dxa"/>
            <w:tcBorders>
              <w:top w:val="nil"/>
              <w:left w:val="nil"/>
              <w:bottom w:val="single" w:sz="4" w:space="0" w:color="FFFFFF"/>
              <w:right w:val="single" w:sz="4" w:space="0" w:color="auto"/>
            </w:tcBorders>
            <w:shd w:val="clear" w:color="auto" w:fill="auto"/>
            <w:noWrap/>
            <w:vAlign w:val="bottom"/>
            <w:hideMark/>
          </w:tcPr>
          <w:p w14:paraId="2207EE9B"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2559873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76A58A8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7BFF0F9" w14:textId="77777777" w:rsidR="004C78C0" w:rsidRPr="008D777B" w:rsidRDefault="004C78C0" w:rsidP="00654255">
            <w:pPr>
              <w:jc w:val="right"/>
              <w:rPr>
                <w:rFonts w:cstheme="minorHAnsi"/>
                <w:color w:val="000000"/>
                <w:sz w:val="16"/>
                <w:szCs w:val="16"/>
              </w:rPr>
            </w:pPr>
            <w:r w:rsidRPr="008D777B">
              <w:rPr>
                <w:color w:val="000000"/>
                <w:sz w:val="16"/>
              </w:rPr>
              <w:t>87,3</w:t>
            </w:r>
          </w:p>
        </w:tc>
        <w:tc>
          <w:tcPr>
            <w:tcW w:w="673" w:type="dxa"/>
            <w:tcBorders>
              <w:top w:val="nil"/>
              <w:left w:val="nil"/>
              <w:bottom w:val="single" w:sz="4" w:space="0" w:color="FFFFFF"/>
              <w:right w:val="nil"/>
            </w:tcBorders>
            <w:shd w:val="clear" w:color="auto" w:fill="auto"/>
            <w:noWrap/>
            <w:vAlign w:val="bottom"/>
            <w:hideMark/>
          </w:tcPr>
          <w:p w14:paraId="298C6696"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A485213" w14:textId="77777777" w:rsidR="004C78C0" w:rsidRPr="008D777B" w:rsidRDefault="004C78C0" w:rsidP="00654255">
            <w:pPr>
              <w:jc w:val="right"/>
              <w:rPr>
                <w:rFonts w:cstheme="minorHAnsi"/>
                <w:color w:val="000000"/>
                <w:sz w:val="16"/>
                <w:szCs w:val="16"/>
              </w:rPr>
            </w:pPr>
            <w:r w:rsidRPr="008D777B">
              <w:rPr>
                <w:color w:val="000000"/>
                <w:sz w:val="16"/>
              </w:rPr>
              <w:t>37.140,4</w:t>
            </w:r>
          </w:p>
        </w:tc>
      </w:tr>
      <w:tr w:rsidR="004C78C0" w:rsidRPr="008D777B" w14:paraId="72280CCE"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5FDC056" w14:textId="77777777" w:rsidR="004C78C0" w:rsidRPr="008D777B" w:rsidRDefault="004C78C0" w:rsidP="00654255">
            <w:pPr>
              <w:rPr>
                <w:rFonts w:cstheme="minorHAnsi"/>
                <w:color w:val="000000"/>
                <w:sz w:val="16"/>
                <w:szCs w:val="16"/>
              </w:rPr>
            </w:pPr>
            <w:r w:rsidRPr="008D777B">
              <w:rPr>
                <w:color w:val="000000"/>
                <w:sz w:val="16"/>
              </w:rPr>
              <w:t>Mauritanie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2C8934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3C63A0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6ACB30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7A5BD11A"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2F71C4F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A9CF3A5" w14:textId="77777777" w:rsidR="004C78C0" w:rsidRPr="008D777B" w:rsidRDefault="004C78C0" w:rsidP="00654255">
            <w:pPr>
              <w:jc w:val="right"/>
              <w:rPr>
                <w:rFonts w:cstheme="minorHAnsi"/>
                <w:color w:val="000000"/>
                <w:sz w:val="16"/>
                <w:szCs w:val="16"/>
              </w:rPr>
            </w:pPr>
            <w:r w:rsidRPr="008D777B">
              <w:rPr>
                <w:color w:val="000000"/>
                <w:sz w:val="16"/>
              </w:rPr>
              <w:t>72,3</w:t>
            </w:r>
          </w:p>
        </w:tc>
        <w:tc>
          <w:tcPr>
            <w:tcW w:w="854" w:type="dxa"/>
            <w:tcBorders>
              <w:top w:val="nil"/>
              <w:left w:val="nil"/>
              <w:bottom w:val="single" w:sz="4" w:space="0" w:color="FFFFFF"/>
              <w:right w:val="single" w:sz="4" w:space="0" w:color="FFFFFF"/>
            </w:tcBorders>
            <w:shd w:val="clear" w:color="auto" w:fill="auto"/>
            <w:noWrap/>
            <w:vAlign w:val="bottom"/>
            <w:hideMark/>
          </w:tcPr>
          <w:p w14:paraId="323BCD38" w14:textId="77777777" w:rsidR="004C78C0" w:rsidRPr="008D777B" w:rsidRDefault="004C78C0" w:rsidP="00654255">
            <w:pPr>
              <w:jc w:val="right"/>
              <w:rPr>
                <w:rFonts w:cstheme="minorHAnsi"/>
                <w:color w:val="000000"/>
                <w:sz w:val="16"/>
                <w:szCs w:val="16"/>
              </w:rPr>
            </w:pPr>
            <w:r w:rsidRPr="008D777B">
              <w:rPr>
                <w:color w:val="000000"/>
                <w:sz w:val="16"/>
              </w:rPr>
              <w:t>85,1</w:t>
            </w:r>
          </w:p>
        </w:tc>
        <w:tc>
          <w:tcPr>
            <w:tcW w:w="673" w:type="dxa"/>
            <w:tcBorders>
              <w:top w:val="nil"/>
              <w:left w:val="nil"/>
              <w:bottom w:val="single" w:sz="4" w:space="0" w:color="FFFFFF"/>
              <w:right w:val="nil"/>
            </w:tcBorders>
            <w:shd w:val="clear" w:color="auto" w:fill="auto"/>
            <w:noWrap/>
            <w:vAlign w:val="bottom"/>
            <w:hideMark/>
          </w:tcPr>
          <w:p w14:paraId="3B3CB3BD" w14:textId="77777777" w:rsidR="004C78C0" w:rsidRPr="008D777B" w:rsidRDefault="004C78C0" w:rsidP="00654255">
            <w:pPr>
              <w:jc w:val="right"/>
              <w:rPr>
                <w:rFonts w:cstheme="minorHAnsi"/>
                <w:color w:val="000000"/>
                <w:sz w:val="16"/>
                <w:szCs w:val="16"/>
              </w:rPr>
            </w:pPr>
            <w:r w:rsidRPr="008D777B">
              <w:rPr>
                <w:color w:val="000000"/>
                <w:sz w:val="16"/>
              </w:rPr>
              <w:t>17,8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2C81DB2"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66748D26"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05801E32" w14:textId="77777777" w:rsidR="004C78C0" w:rsidRPr="008D777B" w:rsidRDefault="004C78C0" w:rsidP="00654255">
            <w:pPr>
              <w:rPr>
                <w:rFonts w:cstheme="minorHAnsi"/>
                <w:color w:val="000000"/>
                <w:sz w:val="16"/>
                <w:szCs w:val="16"/>
              </w:rPr>
            </w:pPr>
            <w:r w:rsidRPr="008D777B">
              <w:rPr>
                <w:color w:val="000000"/>
                <w:sz w:val="16"/>
              </w:rPr>
              <w:t>Koweït</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F13123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9AFC99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7D4688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1ABA4335"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76B1050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001A7693" w14:textId="77777777" w:rsidR="004C78C0" w:rsidRPr="008D777B" w:rsidRDefault="004C78C0" w:rsidP="00654255">
            <w:pPr>
              <w:jc w:val="right"/>
              <w:rPr>
                <w:rFonts w:cstheme="minorHAnsi"/>
                <w:color w:val="000000"/>
                <w:sz w:val="16"/>
                <w:szCs w:val="16"/>
              </w:rPr>
            </w:pPr>
            <w:r w:rsidRPr="008D777B">
              <w:rPr>
                <w:color w:val="000000"/>
                <w:sz w:val="16"/>
              </w:rPr>
              <w:t>110,8</w:t>
            </w:r>
          </w:p>
        </w:tc>
        <w:tc>
          <w:tcPr>
            <w:tcW w:w="854" w:type="dxa"/>
            <w:tcBorders>
              <w:top w:val="nil"/>
              <w:left w:val="nil"/>
              <w:bottom w:val="single" w:sz="4" w:space="0" w:color="FFFFFF"/>
              <w:right w:val="single" w:sz="4" w:space="0" w:color="FFFFFF"/>
            </w:tcBorders>
            <w:shd w:val="clear" w:color="auto" w:fill="auto"/>
            <w:noWrap/>
            <w:vAlign w:val="bottom"/>
            <w:hideMark/>
          </w:tcPr>
          <w:p w14:paraId="12438C4B" w14:textId="77777777" w:rsidR="004C78C0" w:rsidRPr="008D777B" w:rsidRDefault="004C78C0" w:rsidP="00654255">
            <w:pPr>
              <w:jc w:val="right"/>
              <w:rPr>
                <w:rFonts w:cstheme="minorHAnsi"/>
                <w:color w:val="000000"/>
                <w:sz w:val="16"/>
                <w:szCs w:val="16"/>
              </w:rPr>
            </w:pPr>
            <w:r w:rsidRPr="008D777B">
              <w:rPr>
                <w:color w:val="000000"/>
                <w:sz w:val="16"/>
              </w:rPr>
              <w:t>84,6</w:t>
            </w:r>
          </w:p>
        </w:tc>
        <w:tc>
          <w:tcPr>
            <w:tcW w:w="673" w:type="dxa"/>
            <w:tcBorders>
              <w:top w:val="nil"/>
              <w:left w:val="nil"/>
              <w:bottom w:val="single" w:sz="4" w:space="0" w:color="FFFFFF"/>
              <w:right w:val="nil"/>
            </w:tcBorders>
            <w:shd w:val="clear" w:color="auto" w:fill="auto"/>
            <w:noWrap/>
            <w:vAlign w:val="bottom"/>
            <w:hideMark/>
          </w:tcPr>
          <w:p w14:paraId="4469D723" w14:textId="77777777" w:rsidR="004C78C0" w:rsidRPr="008D777B" w:rsidRDefault="004C78C0" w:rsidP="00654255">
            <w:pPr>
              <w:jc w:val="right"/>
              <w:rPr>
                <w:rFonts w:cstheme="minorHAnsi"/>
                <w:color w:val="000000"/>
                <w:sz w:val="16"/>
                <w:szCs w:val="16"/>
              </w:rPr>
            </w:pPr>
            <w:r w:rsidRPr="008D777B">
              <w:rPr>
                <w:color w:val="000000"/>
                <w:sz w:val="16"/>
              </w:rPr>
              <w:t>-23,6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B6F4346"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06688C8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057D7E7" w14:textId="77777777" w:rsidR="004C78C0" w:rsidRPr="008D777B" w:rsidRDefault="004C78C0" w:rsidP="00654255">
            <w:pPr>
              <w:rPr>
                <w:rFonts w:cstheme="minorHAnsi"/>
                <w:color w:val="000000"/>
                <w:sz w:val="16"/>
                <w:szCs w:val="16"/>
              </w:rPr>
            </w:pPr>
            <w:r w:rsidRPr="008D777B">
              <w:rPr>
                <w:color w:val="000000"/>
                <w:sz w:val="16"/>
              </w:rPr>
              <w:t>Malaisie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5027E60" w14:textId="77777777" w:rsidR="004C78C0" w:rsidRPr="008D777B" w:rsidRDefault="004C78C0" w:rsidP="00654255">
            <w:pPr>
              <w:jc w:val="right"/>
              <w:rPr>
                <w:rFonts w:cstheme="minorHAnsi"/>
                <w:color w:val="000000"/>
                <w:sz w:val="16"/>
                <w:szCs w:val="16"/>
              </w:rPr>
            </w:pPr>
            <w:r w:rsidRPr="008D777B">
              <w:rPr>
                <w:color w:val="000000"/>
                <w:sz w:val="16"/>
              </w:rPr>
              <w:t>0,7</w:t>
            </w:r>
          </w:p>
        </w:tc>
        <w:tc>
          <w:tcPr>
            <w:tcW w:w="990" w:type="dxa"/>
            <w:tcBorders>
              <w:top w:val="nil"/>
              <w:left w:val="nil"/>
              <w:bottom w:val="single" w:sz="4" w:space="0" w:color="FFFFFF"/>
              <w:right w:val="single" w:sz="4" w:space="0" w:color="FFFFFF"/>
            </w:tcBorders>
            <w:shd w:val="clear" w:color="auto" w:fill="auto"/>
            <w:vAlign w:val="bottom"/>
            <w:hideMark/>
          </w:tcPr>
          <w:p w14:paraId="2BB71154" w14:textId="77777777" w:rsidR="004C78C0" w:rsidRPr="008D777B" w:rsidRDefault="004C78C0" w:rsidP="00654255">
            <w:pPr>
              <w:jc w:val="right"/>
              <w:rPr>
                <w:rFonts w:cstheme="minorHAnsi"/>
                <w:color w:val="000000"/>
                <w:sz w:val="16"/>
                <w:szCs w:val="16"/>
              </w:rPr>
            </w:pPr>
            <w:r w:rsidRPr="008D777B">
              <w:rPr>
                <w:color w:val="000000"/>
                <w:sz w:val="16"/>
              </w:rPr>
              <w:t>8.143,1</w:t>
            </w:r>
          </w:p>
        </w:tc>
        <w:tc>
          <w:tcPr>
            <w:tcW w:w="990" w:type="dxa"/>
            <w:tcBorders>
              <w:top w:val="nil"/>
              <w:left w:val="nil"/>
              <w:bottom w:val="single" w:sz="4" w:space="0" w:color="FFFFFF"/>
              <w:right w:val="single" w:sz="4" w:space="0" w:color="FFFFFF"/>
            </w:tcBorders>
            <w:shd w:val="clear" w:color="auto" w:fill="auto"/>
            <w:vAlign w:val="bottom"/>
            <w:hideMark/>
          </w:tcPr>
          <w:p w14:paraId="29207EEF" w14:textId="77777777" w:rsidR="004C78C0" w:rsidRPr="008D777B" w:rsidRDefault="004C78C0" w:rsidP="00654255">
            <w:pPr>
              <w:jc w:val="right"/>
              <w:rPr>
                <w:rFonts w:cstheme="minorHAnsi"/>
                <w:color w:val="000000"/>
                <w:sz w:val="16"/>
                <w:szCs w:val="16"/>
              </w:rPr>
            </w:pPr>
            <w:r w:rsidRPr="008D777B">
              <w:rPr>
                <w:color w:val="000000"/>
                <w:sz w:val="16"/>
              </w:rPr>
              <w:t>10.094,9</w:t>
            </w:r>
          </w:p>
        </w:tc>
        <w:tc>
          <w:tcPr>
            <w:tcW w:w="673" w:type="dxa"/>
            <w:tcBorders>
              <w:top w:val="nil"/>
              <w:left w:val="nil"/>
              <w:bottom w:val="single" w:sz="4" w:space="0" w:color="FFFFFF"/>
              <w:right w:val="single" w:sz="4" w:space="0" w:color="auto"/>
            </w:tcBorders>
            <w:shd w:val="clear" w:color="auto" w:fill="auto"/>
            <w:noWrap/>
            <w:vAlign w:val="bottom"/>
            <w:hideMark/>
          </w:tcPr>
          <w:p w14:paraId="5EB2723C" w14:textId="77777777" w:rsidR="004C78C0" w:rsidRPr="008D777B" w:rsidRDefault="004C78C0" w:rsidP="00654255">
            <w:pPr>
              <w:jc w:val="right"/>
              <w:rPr>
                <w:rFonts w:cstheme="minorHAnsi"/>
                <w:color w:val="000000"/>
                <w:sz w:val="16"/>
                <w:szCs w:val="16"/>
              </w:rPr>
            </w:pPr>
            <w:r w:rsidRPr="008D777B">
              <w:rPr>
                <w:color w:val="000000"/>
                <w:sz w:val="16"/>
              </w:rPr>
              <w:t>24,0</w:t>
            </w:r>
          </w:p>
        </w:tc>
        <w:tc>
          <w:tcPr>
            <w:tcW w:w="829" w:type="dxa"/>
            <w:tcBorders>
              <w:top w:val="nil"/>
              <w:left w:val="nil"/>
              <w:bottom w:val="single" w:sz="4" w:space="0" w:color="FFFFFF"/>
              <w:right w:val="single" w:sz="4" w:space="0" w:color="FFFFFF"/>
            </w:tcBorders>
            <w:shd w:val="clear" w:color="auto" w:fill="auto"/>
            <w:noWrap/>
            <w:vAlign w:val="bottom"/>
            <w:hideMark/>
          </w:tcPr>
          <w:p w14:paraId="7ED558B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59B9340E" w14:textId="77777777" w:rsidR="004C78C0" w:rsidRPr="008D777B" w:rsidRDefault="004C78C0" w:rsidP="00654255">
            <w:pPr>
              <w:jc w:val="right"/>
              <w:rPr>
                <w:rFonts w:cstheme="minorHAnsi"/>
                <w:color w:val="000000"/>
                <w:sz w:val="16"/>
                <w:szCs w:val="16"/>
              </w:rPr>
            </w:pPr>
            <w:r w:rsidRPr="008D777B">
              <w:rPr>
                <w:color w:val="000000"/>
                <w:sz w:val="16"/>
              </w:rPr>
              <w:t>89,3</w:t>
            </w:r>
          </w:p>
        </w:tc>
        <w:tc>
          <w:tcPr>
            <w:tcW w:w="854" w:type="dxa"/>
            <w:tcBorders>
              <w:top w:val="nil"/>
              <w:left w:val="nil"/>
              <w:bottom w:val="single" w:sz="4" w:space="0" w:color="FFFFFF"/>
              <w:right w:val="single" w:sz="4" w:space="0" w:color="FFFFFF"/>
            </w:tcBorders>
            <w:shd w:val="clear" w:color="auto" w:fill="auto"/>
            <w:noWrap/>
            <w:vAlign w:val="bottom"/>
            <w:hideMark/>
          </w:tcPr>
          <w:p w14:paraId="310ED354" w14:textId="77777777" w:rsidR="004C78C0" w:rsidRPr="008D777B" w:rsidRDefault="004C78C0" w:rsidP="00654255">
            <w:pPr>
              <w:jc w:val="right"/>
              <w:rPr>
                <w:rFonts w:cstheme="minorHAnsi"/>
                <w:color w:val="000000"/>
                <w:sz w:val="16"/>
                <w:szCs w:val="16"/>
              </w:rPr>
            </w:pPr>
            <w:r w:rsidRPr="008D777B">
              <w:rPr>
                <w:color w:val="000000"/>
                <w:sz w:val="16"/>
              </w:rPr>
              <w:t>79,9</w:t>
            </w:r>
          </w:p>
        </w:tc>
        <w:tc>
          <w:tcPr>
            <w:tcW w:w="673" w:type="dxa"/>
            <w:tcBorders>
              <w:top w:val="nil"/>
              <w:left w:val="nil"/>
              <w:bottom w:val="single" w:sz="4" w:space="0" w:color="FFFFFF"/>
              <w:right w:val="nil"/>
            </w:tcBorders>
            <w:shd w:val="clear" w:color="auto" w:fill="auto"/>
            <w:noWrap/>
            <w:vAlign w:val="bottom"/>
            <w:hideMark/>
          </w:tcPr>
          <w:p w14:paraId="20CE19FB" w14:textId="77777777" w:rsidR="004C78C0" w:rsidRPr="008D777B" w:rsidRDefault="004C78C0" w:rsidP="00654255">
            <w:pPr>
              <w:jc w:val="right"/>
              <w:rPr>
                <w:rFonts w:cstheme="minorHAnsi"/>
                <w:color w:val="000000"/>
                <w:sz w:val="16"/>
                <w:szCs w:val="16"/>
              </w:rPr>
            </w:pPr>
            <w:r w:rsidRPr="008D777B">
              <w:rPr>
                <w:color w:val="000000"/>
                <w:sz w:val="16"/>
              </w:rPr>
              <w:t>-10,5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DC76B35" w14:textId="77777777" w:rsidR="004C78C0" w:rsidRPr="008D777B" w:rsidRDefault="004C78C0" w:rsidP="00654255">
            <w:pPr>
              <w:jc w:val="right"/>
              <w:rPr>
                <w:rFonts w:cstheme="minorHAnsi"/>
                <w:color w:val="000000"/>
                <w:sz w:val="16"/>
                <w:szCs w:val="16"/>
              </w:rPr>
            </w:pPr>
            <w:r w:rsidRPr="008D777B">
              <w:rPr>
                <w:color w:val="000000"/>
                <w:sz w:val="16"/>
              </w:rPr>
              <w:t>0,8</w:t>
            </w:r>
          </w:p>
        </w:tc>
      </w:tr>
      <w:tr w:rsidR="004C78C0" w:rsidRPr="008D777B" w14:paraId="5B9A149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3E2BF79" w14:textId="77777777" w:rsidR="004C78C0" w:rsidRPr="008D777B" w:rsidRDefault="004C78C0" w:rsidP="00654255">
            <w:pPr>
              <w:rPr>
                <w:rFonts w:cstheme="minorHAnsi"/>
                <w:color w:val="000000"/>
                <w:sz w:val="16"/>
                <w:szCs w:val="16"/>
              </w:rPr>
            </w:pPr>
            <w:r w:rsidRPr="008D777B">
              <w:rPr>
                <w:color w:val="000000"/>
                <w:sz w:val="16"/>
              </w:rPr>
              <w:t>Pérou</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CD86EE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6238E1F" w14:textId="77777777" w:rsidR="004C78C0" w:rsidRPr="008D777B" w:rsidRDefault="004C78C0" w:rsidP="00654255">
            <w:pPr>
              <w:jc w:val="right"/>
              <w:rPr>
                <w:rFonts w:cstheme="minorHAnsi"/>
                <w:color w:val="000000"/>
                <w:sz w:val="16"/>
                <w:szCs w:val="16"/>
              </w:rPr>
            </w:pPr>
            <w:r w:rsidRPr="008D777B">
              <w:rPr>
                <w:color w:val="000000"/>
                <w:sz w:val="16"/>
              </w:rPr>
              <w:t>1,0</w:t>
            </w:r>
          </w:p>
        </w:tc>
        <w:tc>
          <w:tcPr>
            <w:tcW w:w="990" w:type="dxa"/>
            <w:tcBorders>
              <w:top w:val="nil"/>
              <w:left w:val="nil"/>
              <w:bottom w:val="single" w:sz="4" w:space="0" w:color="FFFFFF"/>
              <w:right w:val="single" w:sz="4" w:space="0" w:color="FFFFFF"/>
            </w:tcBorders>
            <w:shd w:val="clear" w:color="auto" w:fill="auto"/>
            <w:vAlign w:val="bottom"/>
            <w:hideMark/>
          </w:tcPr>
          <w:p w14:paraId="4D10454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043EA51D" w14:textId="77777777" w:rsidR="004C78C0" w:rsidRPr="008D777B" w:rsidRDefault="004C78C0" w:rsidP="00654255">
            <w:pPr>
              <w:jc w:val="right"/>
              <w:rPr>
                <w:rFonts w:cstheme="minorHAnsi"/>
                <w:color w:val="000000"/>
                <w:sz w:val="16"/>
                <w:szCs w:val="16"/>
              </w:rPr>
            </w:pPr>
            <w:r w:rsidRPr="008D777B">
              <w:rPr>
                <w:color w:val="000000"/>
                <w:sz w:val="16"/>
              </w:rPr>
              <w:t>-97,3</w:t>
            </w:r>
          </w:p>
        </w:tc>
        <w:tc>
          <w:tcPr>
            <w:tcW w:w="829" w:type="dxa"/>
            <w:tcBorders>
              <w:top w:val="nil"/>
              <w:left w:val="nil"/>
              <w:bottom w:val="single" w:sz="4" w:space="0" w:color="FFFFFF"/>
              <w:right w:val="single" w:sz="4" w:space="0" w:color="FFFFFF"/>
            </w:tcBorders>
            <w:shd w:val="clear" w:color="auto" w:fill="auto"/>
            <w:noWrap/>
            <w:vAlign w:val="bottom"/>
            <w:hideMark/>
          </w:tcPr>
          <w:p w14:paraId="725107B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9A23B45" w14:textId="77777777" w:rsidR="004C78C0" w:rsidRPr="008D777B" w:rsidRDefault="004C78C0" w:rsidP="00654255">
            <w:pPr>
              <w:jc w:val="right"/>
              <w:rPr>
                <w:rFonts w:cstheme="minorHAnsi"/>
                <w:color w:val="000000"/>
                <w:sz w:val="16"/>
                <w:szCs w:val="16"/>
              </w:rPr>
            </w:pPr>
            <w:r w:rsidRPr="008D777B">
              <w:rPr>
                <w:color w:val="000000"/>
                <w:sz w:val="16"/>
              </w:rPr>
              <w:t>87,0</w:t>
            </w:r>
          </w:p>
        </w:tc>
        <w:tc>
          <w:tcPr>
            <w:tcW w:w="854" w:type="dxa"/>
            <w:tcBorders>
              <w:top w:val="nil"/>
              <w:left w:val="nil"/>
              <w:bottom w:val="single" w:sz="4" w:space="0" w:color="FFFFFF"/>
              <w:right w:val="single" w:sz="4" w:space="0" w:color="FFFFFF"/>
            </w:tcBorders>
            <w:shd w:val="clear" w:color="auto" w:fill="auto"/>
            <w:noWrap/>
            <w:vAlign w:val="bottom"/>
            <w:hideMark/>
          </w:tcPr>
          <w:p w14:paraId="4FC891AB" w14:textId="77777777" w:rsidR="004C78C0" w:rsidRPr="008D777B" w:rsidRDefault="004C78C0" w:rsidP="00654255">
            <w:pPr>
              <w:jc w:val="right"/>
              <w:rPr>
                <w:rFonts w:cstheme="minorHAnsi"/>
                <w:color w:val="000000"/>
                <w:sz w:val="16"/>
                <w:szCs w:val="16"/>
              </w:rPr>
            </w:pPr>
            <w:r w:rsidRPr="008D777B">
              <w:rPr>
                <w:color w:val="000000"/>
                <w:sz w:val="16"/>
              </w:rPr>
              <w:t>78,2</w:t>
            </w:r>
          </w:p>
        </w:tc>
        <w:tc>
          <w:tcPr>
            <w:tcW w:w="673" w:type="dxa"/>
            <w:tcBorders>
              <w:top w:val="nil"/>
              <w:left w:val="nil"/>
              <w:bottom w:val="single" w:sz="4" w:space="0" w:color="FFFFFF"/>
              <w:right w:val="nil"/>
            </w:tcBorders>
            <w:shd w:val="clear" w:color="auto" w:fill="auto"/>
            <w:noWrap/>
            <w:vAlign w:val="bottom"/>
            <w:hideMark/>
          </w:tcPr>
          <w:p w14:paraId="5C893186" w14:textId="77777777" w:rsidR="004C78C0" w:rsidRPr="008D777B" w:rsidRDefault="004C78C0" w:rsidP="00654255">
            <w:pPr>
              <w:jc w:val="right"/>
              <w:rPr>
                <w:rFonts w:cstheme="minorHAnsi"/>
                <w:color w:val="000000"/>
                <w:sz w:val="16"/>
                <w:szCs w:val="16"/>
              </w:rPr>
            </w:pPr>
            <w:r w:rsidRPr="008D777B">
              <w:rPr>
                <w:color w:val="000000"/>
                <w:sz w:val="16"/>
              </w:rPr>
              <w:t>-10,0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63DCACF" w14:textId="77777777" w:rsidR="004C78C0" w:rsidRPr="008D777B" w:rsidRDefault="004C78C0" w:rsidP="00654255">
            <w:pPr>
              <w:jc w:val="right"/>
              <w:rPr>
                <w:rFonts w:cstheme="minorHAnsi"/>
                <w:color w:val="000000"/>
                <w:sz w:val="16"/>
                <w:szCs w:val="16"/>
              </w:rPr>
            </w:pPr>
            <w:r w:rsidRPr="008D777B">
              <w:rPr>
                <w:color w:val="000000"/>
                <w:sz w:val="16"/>
              </w:rPr>
              <w:t>289.796,3</w:t>
            </w:r>
          </w:p>
        </w:tc>
      </w:tr>
      <w:tr w:rsidR="004C78C0" w:rsidRPr="008D777B" w14:paraId="74F03F18"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1155AFF" w14:textId="77777777" w:rsidR="004C78C0" w:rsidRPr="008D777B" w:rsidRDefault="004C78C0" w:rsidP="00654255">
            <w:pPr>
              <w:rPr>
                <w:rFonts w:cstheme="minorHAnsi"/>
                <w:color w:val="000000"/>
                <w:sz w:val="16"/>
                <w:szCs w:val="16"/>
              </w:rPr>
            </w:pPr>
            <w:r w:rsidRPr="008D777B">
              <w:rPr>
                <w:color w:val="000000"/>
                <w:sz w:val="16"/>
              </w:rPr>
              <w:t>Niger</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B50B68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278888F"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51B8C2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7CDB679C"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0822D08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AA65A1B" w14:textId="77777777" w:rsidR="004C78C0" w:rsidRPr="008D777B" w:rsidRDefault="004C78C0" w:rsidP="00654255">
            <w:pPr>
              <w:jc w:val="right"/>
              <w:rPr>
                <w:rFonts w:cstheme="minorHAnsi"/>
                <w:color w:val="000000"/>
                <w:sz w:val="16"/>
                <w:szCs w:val="16"/>
              </w:rPr>
            </w:pPr>
            <w:r w:rsidRPr="008D777B">
              <w:rPr>
                <w:color w:val="000000"/>
                <w:sz w:val="16"/>
              </w:rPr>
              <w:t>42,1</w:t>
            </w:r>
          </w:p>
        </w:tc>
        <w:tc>
          <w:tcPr>
            <w:tcW w:w="854" w:type="dxa"/>
            <w:tcBorders>
              <w:top w:val="nil"/>
              <w:left w:val="nil"/>
              <w:bottom w:val="single" w:sz="4" w:space="0" w:color="FFFFFF"/>
              <w:right w:val="single" w:sz="4" w:space="0" w:color="FFFFFF"/>
            </w:tcBorders>
            <w:shd w:val="clear" w:color="auto" w:fill="auto"/>
            <w:noWrap/>
            <w:vAlign w:val="bottom"/>
            <w:hideMark/>
          </w:tcPr>
          <w:p w14:paraId="1ADB84D8" w14:textId="77777777" w:rsidR="004C78C0" w:rsidRPr="008D777B" w:rsidRDefault="004C78C0" w:rsidP="00654255">
            <w:pPr>
              <w:jc w:val="right"/>
              <w:rPr>
                <w:rFonts w:cstheme="minorHAnsi"/>
                <w:color w:val="000000"/>
                <w:sz w:val="16"/>
                <w:szCs w:val="16"/>
              </w:rPr>
            </w:pPr>
            <w:r w:rsidRPr="008D777B">
              <w:rPr>
                <w:color w:val="000000"/>
                <w:sz w:val="16"/>
              </w:rPr>
              <w:t>73,9</w:t>
            </w:r>
          </w:p>
        </w:tc>
        <w:tc>
          <w:tcPr>
            <w:tcW w:w="673" w:type="dxa"/>
            <w:tcBorders>
              <w:top w:val="nil"/>
              <w:left w:val="nil"/>
              <w:bottom w:val="single" w:sz="4" w:space="0" w:color="FFFFFF"/>
              <w:right w:val="nil"/>
            </w:tcBorders>
            <w:shd w:val="clear" w:color="auto" w:fill="auto"/>
            <w:noWrap/>
            <w:vAlign w:val="bottom"/>
            <w:hideMark/>
          </w:tcPr>
          <w:p w14:paraId="72840D6F" w14:textId="77777777" w:rsidR="004C78C0" w:rsidRPr="008D777B" w:rsidRDefault="004C78C0" w:rsidP="00654255">
            <w:pPr>
              <w:jc w:val="right"/>
              <w:rPr>
                <w:rFonts w:cstheme="minorHAnsi"/>
                <w:color w:val="000000"/>
                <w:sz w:val="16"/>
                <w:szCs w:val="16"/>
              </w:rPr>
            </w:pPr>
            <w:r w:rsidRPr="008D777B">
              <w:rPr>
                <w:color w:val="000000"/>
                <w:sz w:val="16"/>
              </w:rPr>
              <w:t>75,5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F0459A7"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6DB756B3"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FB17D58" w14:textId="77777777" w:rsidR="004C78C0" w:rsidRPr="008D777B" w:rsidRDefault="004C78C0" w:rsidP="00654255">
            <w:pPr>
              <w:rPr>
                <w:rFonts w:cstheme="minorHAnsi"/>
                <w:color w:val="000000"/>
                <w:sz w:val="16"/>
                <w:szCs w:val="16"/>
              </w:rPr>
            </w:pPr>
            <w:r w:rsidRPr="008D777B">
              <w:rPr>
                <w:color w:val="000000"/>
                <w:sz w:val="16"/>
              </w:rPr>
              <w:t>Colombie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7227C1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0FFB0D6" w14:textId="77777777" w:rsidR="004C78C0" w:rsidRPr="008D777B" w:rsidRDefault="004C78C0" w:rsidP="00654255">
            <w:pPr>
              <w:jc w:val="right"/>
              <w:rPr>
                <w:rFonts w:cstheme="minorHAnsi"/>
                <w:color w:val="000000"/>
                <w:sz w:val="16"/>
                <w:szCs w:val="16"/>
              </w:rPr>
            </w:pPr>
            <w:r w:rsidRPr="008D777B">
              <w:rPr>
                <w:color w:val="000000"/>
                <w:sz w:val="16"/>
              </w:rPr>
              <w:t>52,3</w:t>
            </w:r>
          </w:p>
        </w:tc>
        <w:tc>
          <w:tcPr>
            <w:tcW w:w="990" w:type="dxa"/>
            <w:tcBorders>
              <w:top w:val="nil"/>
              <w:left w:val="nil"/>
              <w:bottom w:val="single" w:sz="4" w:space="0" w:color="FFFFFF"/>
              <w:right w:val="single" w:sz="4" w:space="0" w:color="FFFFFF"/>
            </w:tcBorders>
            <w:shd w:val="clear" w:color="auto" w:fill="auto"/>
            <w:vAlign w:val="bottom"/>
            <w:hideMark/>
          </w:tcPr>
          <w:p w14:paraId="0C2FCED9" w14:textId="77777777" w:rsidR="004C78C0" w:rsidRPr="008D777B" w:rsidRDefault="004C78C0" w:rsidP="00654255">
            <w:pPr>
              <w:jc w:val="right"/>
              <w:rPr>
                <w:rFonts w:cstheme="minorHAnsi"/>
                <w:color w:val="000000"/>
                <w:sz w:val="16"/>
                <w:szCs w:val="16"/>
              </w:rPr>
            </w:pPr>
            <w:r w:rsidRPr="008D777B">
              <w:rPr>
                <w:color w:val="000000"/>
                <w:sz w:val="16"/>
              </w:rPr>
              <w:t>48,1</w:t>
            </w:r>
          </w:p>
        </w:tc>
        <w:tc>
          <w:tcPr>
            <w:tcW w:w="673" w:type="dxa"/>
            <w:tcBorders>
              <w:top w:val="nil"/>
              <w:left w:val="nil"/>
              <w:bottom w:val="single" w:sz="4" w:space="0" w:color="FFFFFF"/>
              <w:right w:val="single" w:sz="4" w:space="0" w:color="auto"/>
            </w:tcBorders>
            <w:shd w:val="clear" w:color="auto" w:fill="auto"/>
            <w:noWrap/>
            <w:vAlign w:val="bottom"/>
            <w:hideMark/>
          </w:tcPr>
          <w:p w14:paraId="211F0ACA" w14:textId="77777777" w:rsidR="004C78C0" w:rsidRPr="008D777B" w:rsidRDefault="004C78C0" w:rsidP="00654255">
            <w:pPr>
              <w:jc w:val="right"/>
              <w:rPr>
                <w:rFonts w:cstheme="minorHAnsi"/>
                <w:color w:val="000000"/>
                <w:sz w:val="16"/>
                <w:szCs w:val="16"/>
              </w:rPr>
            </w:pPr>
            <w:r w:rsidRPr="008D777B">
              <w:rPr>
                <w:color w:val="000000"/>
                <w:sz w:val="16"/>
              </w:rPr>
              <w:t>-8,0</w:t>
            </w:r>
          </w:p>
        </w:tc>
        <w:tc>
          <w:tcPr>
            <w:tcW w:w="829" w:type="dxa"/>
            <w:tcBorders>
              <w:top w:val="nil"/>
              <w:left w:val="nil"/>
              <w:bottom w:val="single" w:sz="4" w:space="0" w:color="FFFFFF"/>
              <w:right w:val="single" w:sz="4" w:space="0" w:color="FFFFFF"/>
            </w:tcBorders>
            <w:shd w:val="clear" w:color="auto" w:fill="auto"/>
            <w:noWrap/>
            <w:vAlign w:val="bottom"/>
            <w:hideMark/>
          </w:tcPr>
          <w:p w14:paraId="3EEDA47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DCAAB0A" w14:textId="77777777" w:rsidR="004C78C0" w:rsidRPr="008D777B" w:rsidRDefault="004C78C0" w:rsidP="00654255">
            <w:pPr>
              <w:jc w:val="right"/>
              <w:rPr>
                <w:rFonts w:cstheme="minorHAnsi"/>
                <w:color w:val="000000"/>
                <w:sz w:val="16"/>
                <w:szCs w:val="16"/>
              </w:rPr>
            </w:pPr>
            <w:r w:rsidRPr="008D777B">
              <w:rPr>
                <w:color w:val="000000"/>
                <w:sz w:val="16"/>
              </w:rPr>
              <w:t>47,6</w:t>
            </w:r>
          </w:p>
        </w:tc>
        <w:tc>
          <w:tcPr>
            <w:tcW w:w="854" w:type="dxa"/>
            <w:tcBorders>
              <w:top w:val="nil"/>
              <w:left w:val="nil"/>
              <w:bottom w:val="single" w:sz="4" w:space="0" w:color="FFFFFF"/>
              <w:right w:val="single" w:sz="4" w:space="0" w:color="FFFFFF"/>
            </w:tcBorders>
            <w:shd w:val="clear" w:color="auto" w:fill="auto"/>
            <w:noWrap/>
            <w:vAlign w:val="bottom"/>
            <w:hideMark/>
          </w:tcPr>
          <w:p w14:paraId="2310819D" w14:textId="77777777" w:rsidR="004C78C0" w:rsidRPr="008D777B" w:rsidRDefault="004C78C0" w:rsidP="00654255">
            <w:pPr>
              <w:jc w:val="right"/>
              <w:rPr>
                <w:rFonts w:cstheme="minorHAnsi"/>
                <w:color w:val="000000"/>
                <w:sz w:val="16"/>
                <w:szCs w:val="16"/>
              </w:rPr>
            </w:pPr>
            <w:r w:rsidRPr="008D777B">
              <w:rPr>
                <w:color w:val="000000"/>
                <w:sz w:val="16"/>
              </w:rPr>
              <w:t>73,8</w:t>
            </w:r>
          </w:p>
        </w:tc>
        <w:tc>
          <w:tcPr>
            <w:tcW w:w="673" w:type="dxa"/>
            <w:tcBorders>
              <w:top w:val="nil"/>
              <w:left w:val="nil"/>
              <w:bottom w:val="single" w:sz="4" w:space="0" w:color="FFFFFF"/>
              <w:right w:val="nil"/>
            </w:tcBorders>
            <w:shd w:val="clear" w:color="auto" w:fill="auto"/>
            <w:noWrap/>
            <w:vAlign w:val="bottom"/>
            <w:hideMark/>
          </w:tcPr>
          <w:p w14:paraId="4B493BDA" w14:textId="77777777" w:rsidR="004C78C0" w:rsidRPr="008D777B" w:rsidRDefault="004C78C0" w:rsidP="00654255">
            <w:pPr>
              <w:jc w:val="right"/>
              <w:rPr>
                <w:rFonts w:cstheme="minorHAnsi"/>
                <w:color w:val="000000"/>
                <w:sz w:val="16"/>
                <w:szCs w:val="16"/>
              </w:rPr>
            </w:pPr>
            <w:r w:rsidRPr="008D777B">
              <w:rPr>
                <w:color w:val="000000"/>
                <w:sz w:val="16"/>
              </w:rPr>
              <w:t>54,9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389EF8A" w14:textId="77777777" w:rsidR="004C78C0" w:rsidRPr="008D777B" w:rsidRDefault="004C78C0" w:rsidP="00654255">
            <w:pPr>
              <w:jc w:val="right"/>
              <w:rPr>
                <w:rFonts w:cstheme="minorHAnsi"/>
                <w:color w:val="000000"/>
                <w:sz w:val="16"/>
                <w:szCs w:val="16"/>
              </w:rPr>
            </w:pPr>
            <w:r w:rsidRPr="008D777B">
              <w:rPr>
                <w:color w:val="000000"/>
                <w:sz w:val="16"/>
              </w:rPr>
              <w:t>153,4</w:t>
            </w:r>
          </w:p>
        </w:tc>
      </w:tr>
      <w:tr w:rsidR="004C78C0" w:rsidRPr="008D777B" w14:paraId="6EBA1579"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2D85FB80" w14:textId="77777777" w:rsidR="004C78C0" w:rsidRPr="008D777B" w:rsidRDefault="004C78C0" w:rsidP="00654255">
            <w:pPr>
              <w:rPr>
                <w:rFonts w:cstheme="minorHAnsi"/>
                <w:color w:val="000000"/>
                <w:sz w:val="16"/>
                <w:szCs w:val="16"/>
              </w:rPr>
            </w:pPr>
            <w:r w:rsidRPr="008D777B">
              <w:rPr>
                <w:color w:val="000000"/>
                <w:sz w:val="16"/>
              </w:rPr>
              <w:lastRenderedPageBreak/>
              <w:t>Cap Vert</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80E3BB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5148EC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0B638D8" w14:textId="77777777" w:rsidR="004C78C0" w:rsidRPr="008D777B" w:rsidRDefault="004C78C0" w:rsidP="00654255">
            <w:pPr>
              <w:jc w:val="right"/>
              <w:rPr>
                <w:rFonts w:cstheme="minorHAnsi"/>
                <w:color w:val="000000"/>
                <w:sz w:val="16"/>
                <w:szCs w:val="16"/>
              </w:rPr>
            </w:pPr>
            <w:r w:rsidRPr="008D777B">
              <w:rPr>
                <w:color w:val="000000"/>
                <w:sz w:val="16"/>
              </w:rPr>
              <w:t>32,7</w:t>
            </w:r>
          </w:p>
        </w:tc>
        <w:tc>
          <w:tcPr>
            <w:tcW w:w="673" w:type="dxa"/>
            <w:tcBorders>
              <w:top w:val="nil"/>
              <w:left w:val="nil"/>
              <w:bottom w:val="single" w:sz="4" w:space="0" w:color="FFFFFF"/>
              <w:right w:val="single" w:sz="4" w:space="0" w:color="auto"/>
            </w:tcBorders>
            <w:shd w:val="clear" w:color="auto" w:fill="auto"/>
            <w:noWrap/>
            <w:vAlign w:val="bottom"/>
            <w:hideMark/>
          </w:tcPr>
          <w:p w14:paraId="09AF7410"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2B04492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5E763D1F" w14:textId="77777777" w:rsidR="004C78C0" w:rsidRPr="008D777B" w:rsidRDefault="004C78C0" w:rsidP="00654255">
            <w:pPr>
              <w:jc w:val="right"/>
              <w:rPr>
                <w:rFonts w:cstheme="minorHAnsi"/>
                <w:color w:val="000000"/>
                <w:sz w:val="16"/>
                <w:szCs w:val="16"/>
              </w:rPr>
            </w:pPr>
            <w:r w:rsidRPr="008D777B">
              <w:rPr>
                <w:color w:val="000000"/>
                <w:sz w:val="16"/>
              </w:rPr>
              <w:t>89,1</w:t>
            </w:r>
          </w:p>
        </w:tc>
        <w:tc>
          <w:tcPr>
            <w:tcW w:w="854" w:type="dxa"/>
            <w:tcBorders>
              <w:top w:val="nil"/>
              <w:left w:val="nil"/>
              <w:bottom w:val="single" w:sz="4" w:space="0" w:color="FFFFFF"/>
              <w:right w:val="single" w:sz="4" w:space="0" w:color="FFFFFF"/>
            </w:tcBorders>
            <w:shd w:val="clear" w:color="auto" w:fill="auto"/>
            <w:noWrap/>
            <w:vAlign w:val="bottom"/>
            <w:hideMark/>
          </w:tcPr>
          <w:p w14:paraId="7913A8B2" w14:textId="77777777" w:rsidR="004C78C0" w:rsidRPr="008D777B" w:rsidRDefault="004C78C0" w:rsidP="00654255">
            <w:pPr>
              <w:jc w:val="right"/>
              <w:rPr>
                <w:rFonts w:cstheme="minorHAnsi"/>
                <w:color w:val="000000"/>
                <w:sz w:val="16"/>
                <w:szCs w:val="16"/>
              </w:rPr>
            </w:pPr>
            <w:r w:rsidRPr="008D777B">
              <w:rPr>
                <w:color w:val="000000"/>
                <w:sz w:val="16"/>
              </w:rPr>
              <w:t>72,5</w:t>
            </w:r>
          </w:p>
        </w:tc>
        <w:tc>
          <w:tcPr>
            <w:tcW w:w="673" w:type="dxa"/>
            <w:tcBorders>
              <w:top w:val="nil"/>
              <w:left w:val="nil"/>
              <w:bottom w:val="single" w:sz="4" w:space="0" w:color="FFFFFF"/>
              <w:right w:val="nil"/>
            </w:tcBorders>
            <w:shd w:val="clear" w:color="auto" w:fill="auto"/>
            <w:noWrap/>
            <w:vAlign w:val="bottom"/>
            <w:hideMark/>
          </w:tcPr>
          <w:p w14:paraId="023BBE16" w14:textId="77777777" w:rsidR="004C78C0" w:rsidRPr="008D777B" w:rsidRDefault="004C78C0" w:rsidP="00654255">
            <w:pPr>
              <w:jc w:val="right"/>
              <w:rPr>
                <w:rFonts w:cstheme="minorHAnsi"/>
                <w:color w:val="000000"/>
                <w:sz w:val="16"/>
                <w:szCs w:val="16"/>
              </w:rPr>
            </w:pPr>
            <w:r w:rsidRPr="008D777B">
              <w:rPr>
                <w:color w:val="000000"/>
                <w:sz w:val="16"/>
              </w:rPr>
              <w:t>-18,7</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8F80A90" w14:textId="77777777" w:rsidR="004C78C0" w:rsidRPr="008D777B" w:rsidRDefault="004C78C0" w:rsidP="00654255">
            <w:pPr>
              <w:jc w:val="right"/>
              <w:rPr>
                <w:rFonts w:cstheme="minorHAnsi"/>
                <w:color w:val="000000"/>
                <w:sz w:val="16"/>
                <w:szCs w:val="16"/>
              </w:rPr>
            </w:pPr>
            <w:r w:rsidRPr="008D777B">
              <w:rPr>
                <w:color w:val="000000"/>
                <w:sz w:val="16"/>
              </w:rPr>
              <w:t>221,8</w:t>
            </w:r>
          </w:p>
        </w:tc>
      </w:tr>
      <w:tr w:rsidR="004C78C0" w:rsidRPr="008D777B" w14:paraId="1877D11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3D6A7A8" w14:textId="77777777" w:rsidR="004C78C0" w:rsidRPr="008D777B" w:rsidRDefault="004C78C0" w:rsidP="00654255">
            <w:pPr>
              <w:rPr>
                <w:rFonts w:cstheme="minorHAnsi"/>
                <w:color w:val="000000"/>
                <w:sz w:val="16"/>
                <w:szCs w:val="16"/>
              </w:rPr>
            </w:pPr>
            <w:r w:rsidRPr="008D777B">
              <w:rPr>
                <w:color w:val="000000"/>
                <w:sz w:val="16"/>
              </w:rPr>
              <w:t>Monténégro</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CEADD0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92E3F4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E3DF8DB" w14:textId="77777777" w:rsidR="004C78C0" w:rsidRPr="008D777B" w:rsidRDefault="004C78C0" w:rsidP="00654255">
            <w:pPr>
              <w:jc w:val="right"/>
              <w:rPr>
                <w:rFonts w:cstheme="minorHAnsi"/>
                <w:color w:val="000000"/>
                <w:sz w:val="16"/>
                <w:szCs w:val="16"/>
              </w:rPr>
            </w:pPr>
            <w:r w:rsidRPr="008D777B">
              <w:rPr>
                <w:color w:val="000000"/>
                <w:sz w:val="16"/>
              </w:rPr>
              <w:t>2,4</w:t>
            </w:r>
          </w:p>
        </w:tc>
        <w:tc>
          <w:tcPr>
            <w:tcW w:w="673" w:type="dxa"/>
            <w:tcBorders>
              <w:top w:val="nil"/>
              <w:left w:val="nil"/>
              <w:bottom w:val="single" w:sz="4" w:space="0" w:color="FFFFFF"/>
              <w:right w:val="single" w:sz="4" w:space="0" w:color="auto"/>
            </w:tcBorders>
            <w:shd w:val="clear" w:color="auto" w:fill="auto"/>
            <w:noWrap/>
            <w:vAlign w:val="bottom"/>
            <w:hideMark/>
          </w:tcPr>
          <w:p w14:paraId="5A80CBA3"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1A112394"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1E8EA5CE" w14:textId="77777777" w:rsidR="004C78C0" w:rsidRPr="008D777B" w:rsidRDefault="004C78C0" w:rsidP="00654255">
            <w:pPr>
              <w:jc w:val="right"/>
              <w:rPr>
                <w:rFonts w:cstheme="minorHAnsi"/>
                <w:color w:val="000000"/>
                <w:sz w:val="16"/>
                <w:szCs w:val="16"/>
              </w:rPr>
            </w:pPr>
            <w:r w:rsidRPr="008D777B">
              <w:rPr>
                <w:color w:val="000000"/>
                <w:sz w:val="16"/>
              </w:rPr>
              <w:t>1,5</w:t>
            </w:r>
          </w:p>
        </w:tc>
        <w:tc>
          <w:tcPr>
            <w:tcW w:w="854" w:type="dxa"/>
            <w:tcBorders>
              <w:top w:val="nil"/>
              <w:left w:val="nil"/>
              <w:bottom w:val="single" w:sz="4" w:space="0" w:color="FFFFFF"/>
              <w:right w:val="single" w:sz="4" w:space="0" w:color="FFFFFF"/>
            </w:tcBorders>
            <w:shd w:val="clear" w:color="auto" w:fill="auto"/>
            <w:noWrap/>
            <w:vAlign w:val="bottom"/>
            <w:hideMark/>
          </w:tcPr>
          <w:p w14:paraId="617B9CC9" w14:textId="77777777" w:rsidR="004C78C0" w:rsidRPr="008D777B" w:rsidRDefault="004C78C0" w:rsidP="00654255">
            <w:pPr>
              <w:jc w:val="right"/>
              <w:rPr>
                <w:rFonts w:cstheme="minorHAnsi"/>
                <w:color w:val="000000"/>
                <w:sz w:val="16"/>
                <w:szCs w:val="16"/>
              </w:rPr>
            </w:pPr>
            <w:r w:rsidRPr="008D777B">
              <w:rPr>
                <w:color w:val="000000"/>
                <w:sz w:val="16"/>
              </w:rPr>
              <w:t>69,8</w:t>
            </w:r>
          </w:p>
        </w:tc>
        <w:tc>
          <w:tcPr>
            <w:tcW w:w="673" w:type="dxa"/>
            <w:tcBorders>
              <w:top w:val="nil"/>
              <w:left w:val="nil"/>
              <w:bottom w:val="single" w:sz="4" w:space="0" w:color="FFFFFF"/>
              <w:right w:val="nil"/>
            </w:tcBorders>
            <w:shd w:val="clear" w:color="auto" w:fill="auto"/>
            <w:noWrap/>
            <w:vAlign w:val="bottom"/>
            <w:hideMark/>
          </w:tcPr>
          <w:p w14:paraId="5E3AB9C3" w14:textId="77777777" w:rsidR="004C78C0" w:rsidRPr="008D777B" w:rsidRDefault="004C78C0" w:rsidP="00654255">
            <w:pPr>
              <w:jc w:val="right"/>
              <w:rPr>
                <w:rFonts w:cstheme="minorHAnsi"/>
                <w:color w:val="000000"/>
                <w:sz w:val="16"/>
                <w:szCs w:val="16"/>
              </w:rPr>
            </w:pPr>
            <w:r w:rsidRPr="008D777B">
              <w:rPr>
                <w:color w:val="000000"/>
                <w:sz w:val="16"/>
              </w:rPr>
              <w:t>4.473,5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DF55984" w14:textId="77777777" w:rsidR="004C78C0" w:rsidRPr="008D777B" w:rsidRDefault="004C78C0" w:rsidP="00654255">
            <w:pPr>
              <w:jc w:val="right"/>
              <w:rPr>
                <w:rFonts w:cstheme="minorHAnsi"/>
                <w:color w:val="000000"/>
                <w:sz w:val="16"/>
                <w:szCs w:val="16"/>
              </w:rPr>
            </w:pPr>
            <w:r w:rsidRPr="008D777B">
              <w:rPr>
                <w:color w:val="000000"/>
                <w:sz w:val="16"/>
              </w:rPr>
              <w:t>2.934,4</w:t>
            </w:r>
          </w:p>
        </w:tc>
      </w:tr>
      <w:tr w:rsidR="004C78C0" w:rsidRPr="008D777B" w14:paraId="7483591A"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79DBC78" w14:textId="77777777" w:rsidR="004C78C0" w:rsidRPr="008D777B" w:rsidRDefault="004C78C0" w:rsidP="00654255">
            <w:pPr>
              <w:rPr>
                <w:rFonts w:cstheme="minorHAnsi"/>
                <w:color w:val="000000"/>
                <w:sz w:val="16"/>
                <w:szCs w:val="16"/>
              </w:rPr>
            </w:pPr>
            <w:r w:rsidRPr="008D777B">
              <w:rPr>
                <w:color w:val="000000"/>
                <w:sz w:val="16"/>
              </w:rPr>
              <w:t>Argentine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0954224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BB30F92" w14:textId="77777777" w:rsidR="004C78C0" w:rsidRPr="008D777B" w:rsidRDefault="004C78C0" w:rsidP="00654255">
            <w:pPr>
              <w:jc w:val="right"/>
              <w:rPr>
                <w:rFonts w:cstheme="minorHAnsi"/>
                <w:color w:val="000000"/>
                <w:sz w:val="16"/>
                <w:szCs w:val="16"/>
              </w:rPr>
            </w:pPr>
            <w:r w:rsidRPr="008D777B">
              <w:rPr>
                <w:color w:val="000000"/>
                <w:sz w:val="16"/>
              </w:rPr>
              <w:t>0,5</w:t>
            </w:r>
          </w:p>
        </w:tc>
        <w:tc>
          <w:tcPr>
            <w:tcW w:w="990" w:type="dxa"/>
            <w:tcBorders>
              <w:top w:val="nil"/>
              <w:left w:val="nil"/>
              <w:bottom w:val="single" w:sz="4" w:space="0" w:color="FFFFFF"/>
              <w:right w:val="single" w:sz="4" w:space="0" w:color="FFFFFF"/>
            </w:tcBorders>
            <w:shd w:val="clear" w:color="auto" w:fill="auto"/>
            <w:vAlign w:val="bottom"/>
            <w:hideMark/>
          </w:tcPr>
          <w:p w14:paraId="1F694CD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25B50D00" w14:textId="77777777" w:rsidR="004C78C0" w:rsidRPr="008D777B" w:rsidRDefault="004C78C0" w:rsidP="00654255">
            <w:pPr>
              <w:jc w:val="right"/>
              <w:rPr>
                <w:rFonts w:cstheme="minorHAnsi"/>
                <w:color w:val="000000"/>
                <w:sz w:val="16"/>
                <w:szCs w:val="16"/>
              </w:rPr>
            </w:pPr>
            <w:r w:rsidRPr="008D777B">
              <w:rPr>
                <w:color w:val="000000"/>
                <w:sz w:val="16"/>
              </w:rPr>
              <w:t>-100,0</w:t>
            </w:r>
          </w:p>
        </w:tc>
        <w:tc>
          <w:tcPr>
            <w:tcW w:w="829" w:type="dxa"/>
            <w:tcBorders>
              <w:top w:val="nil"/>
              <w:left w:val="nil"/>
              <w:bottom w:val="single" w:sz="4" w:space="0" w:color="FFFFFF"/>
              <w:right w:val="single" w:sz="4" w:space="0" w:color="FFFFFF"/>
            </w:tcBorders>
            <w:shd w:val="clear" w:color="auto" w:fill="auto"/>
            <w:noWrap/>
            <w:vAlign w:val="bottom"/>
            <w:hideMark/>
          </w:tcPr>
          <w:p w14:paraId="2DC0846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DA34CBD" w14:textId="77777777" w:rsidR="004C78C0" w:rsidRPr="008D777B" w:rsidRDefault="004C78C0" w:rsidP="00654255">
            <w:pPr>
              <w:jc w:val="right"/>
              <w:rPr>
                <w:rFonts w:cstheme="minorHAnsi"/>
                <w:color w:val="000000"/>
                <w:sz w:val="16"/>
                <w:szCs w:val="16"/>
              </w:rPr>
            </w:pPr>
            <w:r w:rsidRPr="008D777B">
              <w:rPr>
                <w:color w:val="000000"/>
                <w:sz w:val="16"/>
              </w:rPr>
              <w:t>79,4</w:t>
            </w:r>
          </w:p>
        </w:tc>
        <w:tc>
          <w:tcPr>
            <w:tcW w:w="854" w:type="dxa"/>
            <w:tcBorders>
              <w:top w:val="nil"/>
              <w:left w:val="nil"/>
              <w:bottom w:val="single" w:sz="4" w:space="0" w:color="FFFFFF"/>
              <w:right w:val="single" w:sz="4" w:space="0" w:color="FFFFFF"/>
            </w:tcBorders>
            <w:shd w:val="clear" w:color="auto" w:fill="auto"/>
            <w:noWrap/>
            <w:vAlign w:val="bottom"/>
            <w:hideMark/>
          </w:tcPr>
          <w:p w14:paraId="0CC3BDCA" w14:textId="77777777" w:rsidR="004C78C0" w:rsidRPr="008D777B" w:rsidRDefault="004C78C0" w:rsidP="00654255">
            <w:pPr>
              <w:jc w:val="right"/>
              <w:rPr>
                <w:rFonts w:cstheme="minorHAnsi"/>
                <w:color w:val="000000"/>
                <w:sz w:val="16"/>
                <w:szCs w:val="16"/>
              </w:rPr>
            </w:pPr>
            <w:r w:rsidRPr="008D777B">
              <w:rPr>
                <w:color w:val="000000"/>
                <w:sz w:val="16"/>
              </w:rPr>
              <w:t>64,9</w:t>
            </w:r>
          </w:p>
        </w:tc>
        <w:tc>
          <w:tcPr>
            <w:tcW w:w="673" w:type="dxa"/>
            <w:tcBorders>
              <w:top w:val="nil"/>
              <w:left w:val="nil"/>
              <w:bottom w:val="single" w:sz="4" w:space="0" w:color="FFFFFF"/>
              <w:right w:val="nil"/>
            </w:tcBorders>
            <w:shd w:val="clear" w:color="auto" w:fill="auto"/>
            <w:noWrap/>
            <w:vAlign w:val="bottom"/>
            <w:hideMark/>
          </w:tcPr>
          <w:p w14:paraId="4C549AAA" w14:textId="77777777" w:rsidR="004C78C0" w:rsidRPr="008D777B" w:rsidRDefault="004C78C0" w:rsidP="00654255">
            <w:pPr>
              <w:jc w:val="right"/>
              <w:rPr>
                <w:rFonts w:cstheme="minorHAnsi"/>
                <w:color w:val="000000"/>
                <w:sz w:val="16"/>
                <w:szCs w:val="16"/>
              </w:rPr>
            </w:pPr>
            <w:r w:rsidRPr="008D777B">
              <w:rPr>
                <w:color w:val="000000"/>
                <w:sz w:val="16"/>
              </w:rPr>
              <w:t>-18,3</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4BE5302"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0AD8ECD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DFE316E" w14:textId="77777777" w:rsidR="004C78C0" w:rsidRPr="008D777B" w:rsidRDefault="004C78C0" w:rsidP="00654255">
            <w:pPr>
              <w:rPr>
                <w:rFonts w:cstheme="minorHAnsi"/>
                <w:color w:val="000000"/>
                <w:sz w:val="16"/>
                <w:szCs w:val="16"/>
              </w:rPr>
            </w:pPr>
            <w:r w:rsidRPr="008D777B">
              <w:rPr>
                <w:color w:val="000000"/>
                <w:sz w:val="16"/>
              </w:rPr>
              <w:t>Gambie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4BBB33E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67C246BB"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32067C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2D39E9BA"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21C8536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1D3426D4" w14:textId="77777777" w:rsidR="004C78C0" w:rsidRPr="008D777B" w:rsidRDefault="004C78C0" w:rsidP="00654255">
            <w:pPr>
              <w:jc w:val="right"/>
              <w:rPr>
                <w:rFonts w:cstheme="minorHAnsi"/>
                <w:color w:val="000000"/>
                <w:sz w:val="16"/>
                <w:szCs w:val="16"/>
              </w:rPr>
            </w:pPr>
            <w:r w:rsidRPr="008D777B">
              <w:rPr>
                <w:color w:val="000000"/>
                <w:sz w:val="16"/>
              </w:rPr>
              <w:t>106,8</w:t>
            </w:r>
          </w:p>
        </w:tc>
        <w:tc>
          <w:tcPr>
            <w:tcW w:w="854" w:type="dxa"/>
            <w:tcBorders>
              <w:top w:val="nil"/>
              <w:left w:val="nil"/>
              <w:bottom w:val="single" w:sz="4" w:space="0" w:color="FFFFFF"/>
              <w:right w:val="single" w:sz="4" w:space="0" w:color="FFFFFF"/>
            </w:tcBorders>
            <w:shd w:val="clear" w:color="auto" w:fill="auto"/>
            <w:noWrap/>
            <w:vAlign w:val="bottom"/>
            <w:hideMark/>
          </w:tcPr>
          <w:p w14:paraId="74C26463" w14:textId="77777777" w:rsidR="004C78C0" w:rsidRPr="008D777B" w:rsidRDefault="004C78C0" w:rsidP="00654255">
            <w:pPr>
              <w:jc w:val="right"/>
              <w:rPr>
                <w:rFonts w:cstheme="minorHAnsi"/>
                <w:color w:val="000000"/>
                <w:sz w:val="16"/>
                <w:szCs w:val="16"/>
              </w:rPr>
            </w:pPr>
            <w:r w:rsidRPr="008D777B">
              <w:rPr>
                <w:color w:val="000000"/>
                <w:sz w:val="16"/>
              </w:rPr>
              <w:t>62,9</w:t>
            </w:r>
          </w:p>
        </w:tc>
        <w:tc>
          <w:tcPr>
            <w:tcW w:w="673" w:type="dxa"/>
            <w:tcBorders>
              <w:top w:val="nil"/>
              <w:left w:val="nil"/>
              <w:bottom w:val="single" w:sz="4" w:space="0" w:color="FFFFFF"/>
              <w:right w:val="nil"/>
            </w:tcBorders>
            <w:shd w:val="clear" w:color="auto" w:fill="auto"/>
            <w:noWrap/>
            <w:vAlign w:val="bottom"/>
            <w:hideMark/>
          </w:tcPr>
          <w:p w14:paraId="60920DD8" w14:textId="77777777" w:rsidR="004C78C0" w:rsidRPr="008D777B" w:rsidRDefault="004C78C0" w:rsidP="00654255">
            <w:pPr>
              <w:jc w:val="right"/>
              <w:rPr>
                <w:rFonts w:cstheme="minorHAnsi"/>
                <w:color w:val="000000"/>
                <w:sz w:val="16"/>
                <w:szCs w:val="16"/>
              </w:rPr>
            </w:pPr>
            <w:r w:rsidRPr="008D777B">
              <w:rPr>
                <w:color w:val="000000"/>
                <w:sz w:val="16"/>
              </w:rPr>
              <w:t>-41,1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E29F640"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5418105E"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F02A3AF" w14:textId="77777777" w:rsidR="004C78C0" w:rsidRPr="008D777B" w:rsidRDefault="004C78C0" w:rsidP="00654255">
            <w:pPr>
              <w:rPr>
                <w:rFonts w:cstheme="minorHAnsi"/>
                <w:color w:val="000000"/>
                <w:sz w:val="16"/>
                <w:szCs w:val="16"/>
              </w:rPr>
            </w:pPr>
            <w:r w:rsidRPr="008D777B">
              <w:rPr>
                <w:color w:val="000000"/>
                <w:sz w:val="16"/>
              </w:rPr>
              <w:t xml:space="preserve">Congo (Brazzaville) </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34E578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F809F8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4759EF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7F605327"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2D62EED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7706DEA" w14:textId="77777777" w:rsidR="004C78C0" w:rsidRPr="008D777B" w:rsidRDefault="004C78C0" w:rsidP="00654255">
            <w:pPr>
              <w:jc w:val="right"/>
              <w:rPr>
                <w:rFonts w:cstheme="minorHAnsi"/>
                <w:color w:val="000000"/>
                <w:sz w:val="16"/>
                <w:szCs w:val="16"/>
              </w:rPr>
            </w:pPr>
            <w:r w:rsidRPr="008D777B">
              <w:rPr>
                <w:color w:val="000000"/>
                <w:sz w:val="16"/>
              </w:rPr>
              <w:t>130,7</w:t>
            </w:r>
          </w:p>
        </w:tc>
        <w:tc>
          <w:tcPr>
            <w:tcW w:w="854" w:type="dxa"/>
            <w:tcBorders>
              <w:top w:val="nil"/>
              <w:left w:val="nil"/>
              <w:bottom w:val="single" w:sz="4" w:space="0" w:color="FFFFFF"/>
              <w:right w:val="single" w:sz="4" w:space="0" w:color="FFFFFF"/>
            </w:tcBorders>
            <w:shd w:val="clear" w:color="auto" w:fill="auto"/>
            <w:noWrap/>
            <w:vAlign w:val="bottom"/>
            <w:hideMark/>
          </w:tcPr>
          <w:p w14:paraId="3F35875E" w14:textId="77777777" w:rsidR="004C78C0" w:rsidRPr="008D777B" w:rsidRDefault="004C78C0" w:rsidP="00654255">
            <w:pPr>
              <w:jc w:val="right"/>
              <w:rPr>
                <w:rFonts w:cstheme="minorHAnsi"/>
                <w:color w:val="000000"/>
                <w:sz w:val="16"/>
                <w:szCs w:val="16"/>
              </w:rPr>
            </w:pPr>
            <w:r w:rsidRPr="008D777B">
              <w:rPr>
                <w:color w:val="000000"/>
                <w:sz w:val="16"/>
              </w:rPr>
              <w:t>60,4</w:t>
            </w:r>
          </w:p>
        </w:tc>
        <w:tc>
          <w:tcPr>
            <w:tcW w:w="673" w:type="dxa"/>
            <w:tcBorders>
              <w:top w:val="nil"/>
              <w:left w:val="nil"/>
              <w:bottom w:val="single" w:sz="4" w:space="0" w:color="FFFFFF"/>
              <w:right w:val="nil"/>
            </w:tcBorders>
            <w:shd w:val="clear" w:color="auto" w:fill="auto"/>
            <w:noWrap/>
            <w:vAlign w:val="bottom"/>
            <w:hideMark/>
          </w:tcPr>
          <w:p w14:paraId="0397076E" w14:textId="77777777" w:rsidR="004C78C0" w:rsidRPr="008D777B" w:rsidRDefault="004C78C0" w:rsidP="00654255">
            <w:pPr>
              <w:jc w:val="right"/>
              <w:rPr>
                <w:rFonts w:cstheme="minorHAnsi"/>
                <w:color w:val="000000"/>
                <w:sz w:val="16"/>
                <w:szCs w:val="16"/>
              </w:rPr>
            </w:pPr>
            <w:r w:rsidRPr="008D777B">
              <w:rPr>
                <w:color w:val="000000"/>
                <w:sz w:val="16"/>
              </w:rPr>
              <w:t>-53,8</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404B81D"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5DF602C2"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A38CC34" w14:textId="77777777" w:rsidR="004C78C0" w:rsidRPr="008D777B" w:rsidRDefault="004C78C0" w:rsidP="00654255">
            <w:pPr>
              <w:rPr>
                <w:rFonts w:cstheme="minorHAnsi"/>
                <w:color w:val="000000"/>
                <w:sz w:val="16"/>
                <w:szCs w:val="16"/>
              </w:rPr>
            </w:pPr>
            <w:r w:rsidRPr="008D777B">
              <w:rPr>
                <w:color w:val="000000"/>
                <w:sz w:val="16"/>
              </w:rPr>
              <w:t>Madagascar</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2FFEA98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7B97FB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264B49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6C70F864"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44F617FB"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3002C822" w14:textId="77777777" w:rsidR="004C78C0" w:rsidRPr="008D777B" w:rsidRDefault="004C78C0" w:rsidP="00654255">
            <w:pPr>
              <w:jc w:val="right"/>
              <w:rPr>
                <w:rFonts w:cstheme="minorHAnsi"/>
                <w:color w:val="000000"/>
                <w:sz w:val="16"/>
                <w:szCs w:val="16"/>
              </w:rPr>
            </w:pPr>
            <w:r w:rsidRPr="008D777B">
              <w:rPr>
                <w:color w:val="000000"/>
                <w:sz w:val="16"/>
              </w:rPr>
              <w:t>40,4</w:t>
            </w:r>
          </w:p>
        </w:tc>
        <w:tc>
          <w:tcPr>
            <w:tcW w:w="854" w:type="dxa"/>
            <w:tcBorders>
              <w:top w:val="nil"/>
              <w:left w:val="nil"/>
              <w:bottom w:val="single" w:sz="4" w:space="0" w:color="FFFFFF"/>
              <w:right w:val="single" w:sz="4" w:space="0" w:color="FFFFFF"/>
            </w:tcBorders>
            <w:shd w:val="clear" w:color="auto" w:fill="auto"/>
            <w:noWrap/>
            <w:vAlign w:val="bottom"/>
            <w:hideMark/>
          </w:tcPr>
          <w:p w14:paraId="75C492EB" w14:textId="77777777" w:rsidR="004C78C0" w:rsidRPr="008D777B" w:rsidRDefault="004C78C0" w:rsidP="00654255">
            <w:pPr>
              <w:jc w:val="right"/>
              <w:rPr>
                <w:rFonts w:cstheme="minorHAnsi"/>
                <w:color w:val="000000"/>
                <w:sz w:val="16"/>
                <w:szCs w:val="16"/>
              </w:rPr>
            </w:pPr>
            <w:r w:rsidRPr="008D777B">
              <w:rPr>
                <w:color w:val="000000"/>
                <w:sz w:val="16"/>
              </w:rPr>
              <w:t>59,7</w:t>
            </w:r>
          </w:p>
        </w:tc>
        <w:tc>
          <w:tcPr>
            <w:tcW w:w="673" w:type="dxa"/>
            <w:tcBorders>
              <w:top w:val="nil"/>
              <w:left w:val="nil"/>
              <w:bottom w:val="single" w:sz="4" w:space="0" w:color="FFFFFF"/>
              <w:right w:val="nil"/>
            </w:tcBorders>
            <w:shd w:val="clear" w:color="auto" w:fill="auto"/>
            <w:noWrap/>
            <w:vAlign w:val="bottom"/>
            <w:hideMark/>
          </w:tcPr>
          <w:p w14:paraId="11454805" w14:textId="77777777" w:rsidR="004C78C0" w:rsidRPr="008D777B" w:rsidRDefault="004C78C0" w:rsidP="00654255">
            <w:pPr>
              <w:jc w:val="right"/>
              <w:rPr>
                <w:rFonts w:cstheme="minorHAnsi"/>
                <w:color w:val="000000"/>
                <w:sz w:val="16"/>
                <w:szCs w:val="16"/>
              </w:rPr>
            </w:pPr>
            <w:r w:rsidRPr="008D777B">
              <w:rPr>
                <w:color w:val="000000"/>
                <w:sz w:val="16"/>
              </w:rPr>
              <w:t>47,6</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9E8AB07"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56592551"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1D4B6CD" w14:textId="77777777" w:rsidR="004C78C0" w:rsidRPr="008D777B" w:rsidRDefault="004C78C0" w:rsidP="00654255">
            <w:pPr>
              <w:rPr>
                <w:rFonts w:cstheme="minorHAnsi"/>
                <w:color w:val="000000"/>
                <w:sz w:val="16"/>
                <w:szCs w:val="16"/>
              </w:rPr>
            </w:pPr>
            <w:r w:rsidRPr="008D777B">
              <w:rPr>
                <w:color w:val="000000"/>
                <w:sz w:val="16"/>
              </w:rPr>
              <w:t>Barbade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1875A6A6"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486EF6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79BAFC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2AB3C302"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4D4CE97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1AA61802" w14:textId="77777777" w:rsidR="004C78C0" w:rsidRPr="008D777B" w:rsidRDefault="004C78C0" w:rsidP="00654255">
            <w:pPr>
              <w:jc w:val="right"/>
              <w:rPr>
                <w:rFonts w:cstheme="minorHAnsi"/>
                <w:color w:val="000000"/>
                <w:sz w:val="16"/>
                <w:szCs w:val="16"/>
              </w:rPr>
            </w:pPr>
            <w:r w:rsidRPr="008D777B">
              <w:rPr>
                <w:color w:val="000000"/>
                <w:sz w:val="16"/>
              </w:rPr>
              <w:t>7,8</w:t>
            </w:r>
          </w:p>
        </w:tc>
        <w:tc>
          <w:tcPr>
            <w:tcW w:w="854" w:type="dxa"/>
            <w:tcBorders>
              <w:top w:val="nil"/>
              <w:left w:val="nil"/>
              <w:bottom w:val="single" w:sz="4" w:space="0" w:color="FFFFFF"/>
              <w:right w:val="single" w:sz="4" w:space="0" w:color="FFFFFF"/>
            </w:tcBorders>
            <w:shd w:val="clear" w:color="auto" w:fill="auto"/>
            <w:noWrap/>
            <w:vAlign w:val="bottom"/>
            <w:hideMark/>
          </w:tcPr>
          <w:p w14:paraId="70F3D605" w14:textId="77777777" w:rsidR="004C78C0" w:rsidRPr="008D777B" w:rsidRDefault="004C78C0" w:rsidP="00654255">
            <w:pPr>
              <w:jc w:val="right"/>
              <w:rPr>
                <w:rFonts w:cstheme="minorHAnsi"/>
                <w:color w:val="000000"/>
                <w:sz w:val="16"/>
                <w:szCs w:val="16"/>
              </w:rPr>
            </w:pPr>
            <w:r w:rsidRPr="008D777B">
              <w:rPr>
                <w:color w:val="000000"/>
                <w:sz w:val="16"/>
              </w:rPr>
              <w:t>59,5</w:t>
            </w:r>
          </w:p>
        </w:tc>
        <w:tc>
          <w:tcPr>
            <w:tcW w:w="673" w:type="dxa"/>
            <w:tcBorders>
              <w:top w:val="nil"/>
              <w:left w:val="nil"/>
              <w:bottom w:val="single" w:sz="4" w:space="0" w:color="FFFFFF"/>
              <w:right w:val="nil"/>
            </w:tcBorders>
            <w:shd w:val="clear" w:color="auto" w:fill="auto"/>
            <w:noWrap/>
            <w:vAlign w:val="bottom"/>
            <w:hideMark/>
          </w:tcPr>
          <w:p w14:paraId="55668117" w14:textId="77777777" w:rsidR="004C78C0" w:rsidRPr="008D777B" w:rsidRDefault="004C78C0" w:rsidP="00654255">
            <w:pPr>
              <w:jc w:val="right"/>
              <w:rPr>
                <w:rFonts w:cstheme="minorHAnsi"/>
                <w:color w:val="000000"/>
                <w:sz w:val="16"/>
                <w:szCs w:val="16"/>
              </w:rPr>
            </w:pPr>
            <w:r w:rsidRPr="008D777B">
              <w:rPr>
                <w:color w:val="000000"/>
                <w:sz w:val="16"/>
              </w:rPr>
              <w:t>664,5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873322F"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5F69B5F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4F97203" w14:textId="77777777" w:rsidR="004C78C0" w:rsidRPr="008D777B" w:rsidRDefault="004C78C0" w:rsidP="00654255">
            <w:pPr>
              <w:rPr>
                <w:rFonts w:cstheme="minorHAnsi"/>
                <w:color w:val="000000"/>
                <w:sz w:val="16"/>
                <w:szCs w:val="16"/>
              </w:rPr>
            </w:pPr>
            <w:r w:rsidRPr="008D777B">
              <w:rPr>
                <w:color w:val="000000"/>
                <w:sz w:val="16"/>
              </w:rPr>
              <w:t>Uruguay</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6097B1E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369102CC"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74252D10" w14:textId="77777777" w:rsidR="004C78C0" w:rsidRPr="008D777B" w:rsidRDefault="004C78C0" w:rsidP="00654255">
            <w:pPr>
              <w:jc w:val="right"/>
              <w:rPr>
                <w:rFonts w:cstheme="minorHAnsi"/>
                <w:color w:val="000000"/>
                <w:sz w:val="16"/>
                <w:szCs w:val="16"/>
              </w:rPr>
            </w:pPr>
            <w:r w:rsidRPr="008D777B">
              <w:rPr>
                <w:color w:val="000000"/>
                <w:sz w:val="16"/>
              </w:rPr>
              <w:t>2,0</w:t>
            </w:r>
          </w:p>
        </w:tc>
        <w:tc>
          <w:tcPr>
            <w:tcW w:w="673" w:type="dxa"/>
            <w:tcBorders>
              <w:top w:val="nil"/>
              <w:left w:val="nil"/>
              <w:bottom w:val="single" w:sz="4" w:space="0" w:color="FFFFFF"/>
              <w:right w:val="single" w:sz="4" w:space="0" w:color="auto"/>
            </w:tcBorders>
            <w:shd w:val="clear" w:color="auto" w:fill="auto"/>
            <w:noWrap/>
            <w:vAlign w:val="bottom"/>
            <w:hideMark/>
          </w:tcPr>
          <w:p w14:paraId="513EC0AA"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6F720B5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052A747C" w14:textId="77777777" w:rsidR="004C78C0" w:rsidRPr="008D777B" w:rsidRDefault="004C78C0" w:rsidP="00654255">
            <w:pPr>
              <w:jc w:val="right"/>
              <w:rPr>
                <w:rFonts w:cstheme="minorHAnsi"/>
                <w:color w:val="000000"/>
                <w:sz w:val="16"/>
                <w:szCs w:val="16"/>
              </w:rPr>
            </w:pPr>
            <w:r w:rsidRPr="008D777B">
              <w:rPr>
                <w:color w:val="000000"/>
                <w:sz w:val="16"/>
              </w:rPr>
              <w:t>305,1</w:t>
            </w:r>
          </w:p>
        </w:tc>
        <w:tc>
          <w:tcPr>
            <w:tcW w:w="854" w:type="dxa"/>
            <w:tcBorders>
              <w:top w:val="nil"/>
              <w:left w:val="nil"/>
              <w:bottom w:val="single" w:sz="4" w:space="0" w:color="FFFFFF"/>
              <w:right w:val="single" w:sz="4" w:space="0" w:color="FFFFFF"/>
            </w:tcBorders>
            <w:shd w:val="clear" w:color="auto" w:fill="auto"/>
            <w:noWrap/>
            <w:vAlign w:val="bottom"/>
            <w:hideMark/>
          </w:tcPr>
          <w:p w14:paraId="48C36508" w14:textId="77777777" w:rsidR="004C78C0" w:rsidRPr="008D777B" w:rsidRDefault="004C78C0" w:rsidP="00654255">
            <w:pPr>
              <w:jc w:val="right"/>
              <w:rPr>
                <w:rFonts w:cstheme="minorHAnsi"/>
                <w:color w:val="000000"/>
                <w:sz w:val="16"/>
                <w:szCs w:val="16"/>
              </w:rPr>
            </w:pPr>
            <w:r w:rsidRPr="008D777B">
              <w:rPr>
                <w:color w:val="000000"/>
                <w:sz w:val="16"/>
              </w:rPr>
              <w:t>58,1</w:t>
            </w:r>
          </w:p>
        </w:tc>
        <w:tc>
          <w:tcPr>
            <w:tcW w:w="673" w:type="dxa"/>
            <w:tcBorders>
              <w:top w:val="nil"/>
              <w:left w:val="nil"/>
              <w:bottom w:val="single" w:sz="4" w:space="0" w:color="FFFFFF"/>
              <w:right w:val="nil"/>
            </w:tcBorders>
            <w:shd w:val="clear" w:color="auto" w:fill="auto"/>
            <w:noWrap/>
            <w:vAlign w:val="bottom"/>
            <w:hideMark/>
          </w:tcPr>
          <w:p w14:paraId="0B07AF4A" w14:textId="77777777" w:rsidR="004C78C0" w:rsidRPr="008D777B" w:rsidRDefault="004C78C0" w:rsidP="00654255">
            <w:pPr>
              <w:jc w:val="right"/>
              <w:rPr>
                <w:rFonts w:cstheme="minorHAnsi"/>
                <w:color w:val="000000"/>
                <w:sz w:val="16"/>
                <w:szCs w:val="16"/>
              </w:rPr>
            </w:pPr>
            <w:r w:rsidRPr="008D777B">
              <w:rPr>
                <w:color w:val="000000"/>
                <w:sz w:val="16"/>
              </w:rPr>
              <w:t>-81,0</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40DC5305" w14:textId="77777777" w:rsidR="004C78C0" w:rsidRPr="008D777B" w:rsidRDefault="004C78C0" w:rsidP="00654255">
            <w:pPr>
              <w:jc w:val="right"/>
              <w:rPr>
                <w:rFonts w:cstheme="minorHAnsi"/>
                <w:color w:val="000000"/>
                <w:sz w:val="16"/>
                <w:szCs w:val="16"/>
              </w:rPr>
            </w:pPr>
            <w:r w:rsidRPr="008D777B">
              <w:rPr>
                <w:color w:val="000000"/>
                <w:sz w:val="16"/>
              </w:rPr>
              <w:t>2.928,0</w:t>
            </w:r>
          </w:p>
        </w:tc>
      </w:tr>
      <w:tr w:rsidR="004C78C0" w:rsidRPr="008D777B" w14:paraId="3CCE22BB"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7575B132" w14:textId="77777777" w:rsidR="004C78C0" w:rsidRPr="008D777B" w:rsidRDefault="004C78C0" w:rsidP="00654255">
            <w:pPr>
              <w:rPr>
                <w:rFonts w:cstheme="minorHAnsi"/>
                <w:color w:val="000000"/>
                <w:sz w:val="16"/>
                <w:szCs w:val="16"/>
              </w:rPr>
            </w:pPr>
            <w:r w:rsidRPr="008D777B">
              <w:rPr>
                <w:color w:val="000000"/>
                <w:sz w:val="16"/>
              </w:rPr>
              <w:t>Macédoine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F1BB26A"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2498720A" w14:textId="77777777" w:rsidR="004C78C0" w:rsidRPr="008D777B" w:rsidRDefault="004C78C0" w:rsidP="00654255">
            <w:pPr>
              <w:jc w:val="right"/>
              <w:rPr>
                <w:rFonts w:cstheme="minorHAnsi"/>
                <w:color w:val="000000"/>
                <w:sz w:val="16"/>
                <w:szCs w:val="16"/>
              </w:rPr>
            </w:pPr>
            <w:r w:rsidRPr="008D777B">
              <w:rPr>
                <w:color w:val="000000"/>
                <w:sz w:val="16"/>
              </w:rPr>
              <w:t>549,9</w:t>
            </w:r>
          </w:p>
        </w:tc>
        <w:tc>
          <w:tcPr>
            <w:tcW w:w="990" w:type="dxa"/>
            <w:tcBorders>
              <w:top w:val="nil"/>
              <w:left w:val="nil"/>
              <w:bottom w:val="single" w:sz="4" w:space="0" w:color="FFFFFF"/>
              <w:right w:val="single" w:sz="4" w:space="0" w:color="FFFFFF"/>
            </w:tcBorders>
            <w:shd w:val="clear" w:color="auto" w:fill="auto"/>
            <w:vAlign w:val="bottom"/>
            <w:hideMark/>
          </w:tcPr>
          <w:p w14:paraId="075BA1D5" w14:textId="77777777" w:rsidR="004C78C0" w:rsidRPr="008D777B" w:rsidRDefault="004C78C0" w:rsidP="00654255">
            <w:pPr>
              <w:jc w:val="right"/>
              <w:rPr>
                <w:rFonts w:cstheme="minorHAnsi"/>
                <w:color w:val="000000"/>
                <w:sz w:val="16"/>
                <w:szCs w:val="16"/>
              </w:rPr>
            </w:pPr>
            <w:r w:rsidRPr="008D777B">
              <w:rPr>
                <w:color w:val="000000"/>
                <w:sz w:val="16"/>
              </w:rPr>
              <w:t>549,1</w:t>
            </w:r>
          </w:p>
        </w:tc>
        <w:tc>
          <w:tcPr>
            <w:tcW w:w="673" w:type="dxa"/>
            <w:tcBorders>
              <w:top w:val="nil"/>
              <w:left w:val="nil"/>
              <w:bottom w:val="single" w:sz="4" w:space="0" w:color="FFFFFF"/>
              <w:right w:val="single" w:sz="4" w:space="0" w:color="auto"/>
            </w:tcBorders>
            <w:shd w:val="clear" w:color="auto" w:fill="auto"/>
            <w:noWrap/>
            <w:vAlign w:val="bottom"/>
            <w:hideMark/>
          </w:tcPr>
          <w:p w14:paraId="615C24B2"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29" w:type="dxa"/>
            <w:tcBorders>
              <w:top w:val="nil"/>
              <w:left w:val="nil"/>
              <w:bottom w:val="single" w:sz="4" w:space="0" w:color="FFFFFF"/>
              <w:right w:val="single" w:sz="4" w:space="0" w:color="FFFFFF"/>
            </w:tcBorders>
            <w:shd w:val="clear" w:color="auto" w:fill="auto"/>
            <w:noWrap/>
            <w:vAlign w:val="bottom"/>
            <w:hideMark/>
          </w:tcPr>
          <w:p w14:paraId="26F8A2F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B90E9EC" w14:textId="77777777" w:rsidR="004C78C0" w:rsidRPr="008D777B" w:rsidRDefault="004C78C0" w:rsidP="00654255">
            <w:pPr>
              <w:jc w:val="right"/>
              <w:rPr>
                <w:rFonts w:cstheme="minorHAnsi"/>
                <w:color w:val="000000"/>
                <w:sz w:val="16"/>
                <w:szCs w:val="16"/>
              </w:rPr>
            </w:pPr>
            <w:r w:rsidRPr="008D777B">
              <w:rPr>
                <w:color w:val="000000"/>
                <w:sz w:val="16"/>
              </w:rPr>
              <w:t>318,3</w:t>
            </w:r>
          </w:p>
        </w:tc>
        <w:tc>
          <w:tcPr>
            <w:tcW w:w="854" w:type="dxa"/>
            <w:tcBorders>
              <w:top w:val="nil"/>
              <w:left w:val="nil"/>
              <w:bottom w:val="single" w:sz="4" w:space="0" w:color="FFFFFF"/>
              <w:right w:val="single" w:sz="4" w:space="0" w:color="FFFFFF"/>
            </w:tcBorders>
            <w:shd w:val="clear" w:color="auto" w:fill="auto"/>
            <w:noWrap/>
            <w:vAlign w:val="bottom"/>
            <w:hideMark/>
          </w:tcPr>
          <w:p w14:paraId="716AD6CD" w14:textId="77777777" w:rsidR="004C78C0" w:rsidRPr="008D777B" w:rsidRDefault="004C78C0" w:rsidP="00654255">
            <w:pPr>
              <w:jc w:val="right"/>
              <w:rPr>
                <w:rFonts w:cstheme="minorHAnsi"/>
                <w:color w:val="000000"/>
                <w:sz w:val="16"/>
                <w:szCs w:val="16"/>
              </w:rPr>
            </w:pPr>
            <w:r w:rsidRPr="008D777B">
              <w:rPr>
                <w:color w:val="000000"/>
                <w:sz w:val="16"/>
              </w:rPr>
              <w:t>56,9</w:t>
            </w:r>
          </w:p>
        </w:tc>
        <w:tc>
          <w:tcPr>
            <w:tcW w:w="673" w:type="dxa"/>
            <w:tcBorders>
              <w:top w:val="nil"/>
              <w:left w:val="nil"/>
              <w:bottom w:val="single" w:sz="4" w:space="0" w:color="FFFFFF"/>
              <w:right w:val="nil"/>
            </w:tcBorders>
            <w:shd w:val="clear" w:color="auto" w:fill="auto"/>
            <w:noWrap/>
            <w:vAlign w:val="bottom"/>
            <w:hideMark/>
          </w:tcPr>
          <w:p w14:paraId="2ABF6F09" w14:textId="77777777" w:rsidR="004C78C0" w:rsidRPr="008D777B" w:rsidRDefault="004C78C0" w:rsidP="00654255">
            <w:pPr>
              <w:jc w:val="right"/>
              <w:rPr>
                <w:rFonts w:cstheme="minorHAnsi"/>
                <w:color w:val="000000"/>
                <w:sz w:val="16"/>
                <w:szCs w:val="16"/>
              </w:rPr>
            </w:pPr>
            <w:r w:rsidRPr="008D777B">
              <w:rPr>
                <w:color w:val="000000"/>
                <w:sz w:val="16"/>
              </w:rPr>
              <w:t>-82,1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D1369CA" w14:textId="77777777" w:rsidR="004C78C0" w:rsidRPr="008D777B" w:rsidRDefault="004C78C0" w:rsidP="00654255">
            <w:pPr>
              <w:jc w:val="right"/>
              <w:rPr>
                <w:rFonts w:cstheme="minorHAnsi"/>
                <w:color w:val="000000"/>
                <w:sz w:val="16"/>
                <w:szCs w:val="16"/>
              </w:rPr>
            </w:pPr>
            <w:r w:rsidRPr="008D777B">
              <w:rPr>
                <w:color w:val="000000"/>
                <w:sz w:val="16"/>
              </w:rPr>
              <w:t>10,4</w:t>
            </w:r>
          </w:p>
        </w:tc>
      </w:tr>
      <w:tr w:rsidR="004C78C0" w:rsidRPr="008D777B" w14:paraId="32D89DC5"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4B172A30" w14:textId="77777777" w:rsidR="004C78C0" w:rsidRPr="008D777B" w:rsidRDefault="004C78C0" w:rsidP="00654255">
            <w:pPr>
              <w:rPr>
                <w:rFonts w:cstheme="minorHAnsi"/>
                <w:color w:val="000000"/>
                <w:sz w:val="16"/>
                <w:szCs w:val="16"/>
              </w:rPr>
            </w:pPr>
            <w:r w:rsidRPr="008D777B">
              <w:rPr>
                <w:color w:val="000000"/>
                <w:sz w:val="16"/>
              </w:rPr>
              <w:t>Kosovo</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2BA4D80"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503C0E13" w14:textId="77777777" w:rsidR="004C78C0" w:rsidRPr="008D777B" w:rsidRDefault="004C78C0" w:rsidP="00654255">
            <w:pPr>
              <w:jc w:val="right"/>
              <w:rPr>
                <w:rFonts w:cstheme="minorHAnsi"/>
                <w:color w:val="000000"/>
                <w:sz w:val="16"/>
                <w:szCs w:val="16"/>
              </w:rPr>
            </w:pPr>
            <w:r w:rsidRPr="008D777B">
              <w:rPr>
                <w:color w:val="000000"/>
                <w:sz w:val="16"/>
              </w:rPr>
              <w:t>602,9</w:t>
            </w:r>
          </w:p>
        </w:tc>
        <w:tc>
          <w:tcPr>
            <w:tcW w:w="990" w:type="dxa"/>
            <w:tcBorders>
              <w:top w:val="nil"/>
              <w:left w:val="nil"/>
              <w:bottom w:val="single" w:sz="4" w:space="0" w:color="FFFFFF"/>
              <w:right w:val="single" w:sz="4" w:space="0" w:color="FFFFFF"/>
            </w:tcBorders>
            <w:shd w:val="clear" w:color="auto" w:fill="auto"/>
            <w:vAlign w:val="bottom"/>
            <w:hideMark/>
          </w:tcPr>
          <w:p w14:paraId="2AF4E24B" w14:textId="77777777" w:rsidR="004C78C0" w:rsidRPr="008D777B" w:rsidRDefault="004C78C0" w:rsidP="00654255">
            <w:pPr>
              <w:jc w:val="right"/>
              <w:rPr>
                <w:rFonts w:cstheme="minorHAnsi"/>
                <w:color w:val="000000"/>
                <w:sz w:val="16"/>
                <w:szCs w:val="16"/>
              </w:rPr>
            </w:pPr>
            <w:r w:rsidRPr="008D777B">
              <w:rPr>
                <w:color w:val="000000"/>
                <w:sz w:val="16"/>
              </w:rPr>
              <w:t>934,6</w:t>
            </w:r>
          </w:p>
        </w:tc>
        <w:tc>
          <w:tcPr>
            <w:tcW w:w="673" w:type="dxa"/>
            <w:tcBorders>
              <w:top w:val="nil"/>
              <w:left w:val="nil"/>
              <w:bottom w:val="single" w:sz="4" w:space="0" w:color="FFFFFF"/>
              <w:right w:val="single" w:sz="4" w:space="0" w:color="auto"/>
            </w:tcBorders>
            <w:shd w:val="clear" w:color="auto" w:fill="auto"/>
            <w:noWrap/>
            <w:vAlign w:val="bottom"/>
            <w:hideMark/>
          </w:tcPr>
          <w:p w14:paraId="0F9A2699" w14:textId="77777777" w:rsidR="004C78C0" w:rsidRPr="008D777B" w:rsidRDefault="004C78C0" w:rsidP="00654255">
            <w:pPr>
              <w:jc w:val="right"/>
              <w:rPr>
                <w:rFonts w:cstheme="minorHAnsi"/>
                <w:color w:val="000000"/>
                <w:sz w:val="16"/>
                <w:szCs w:val="16"/>
              </w:rPr>
            </w:pPr>
            <w:r w:rsidRPr="008D777B">
              <w:rPr>
                <w:color w:val="000000"/>
                <w:sz w:val="16"/>
              </w:rPr>
              <w:t>55,0</w:t>
            </w:r>
          </w:p>
        </w:tc>
        <w:tc>
          <w:tcPr>
            <w:tcW w:w="829" w:type="dxa"/>
            <w:tcBorders>
              <w:top w:val="nil"/>
              <w:left w:val="nil"/>
              <w:bottom w:val="single" w:sz="4" w:space="0" w:color="FFFFFF"/>
              <w:right w:val="single" w:sz="4" w:space="0" w:color="FFFFFF"/>
            </w:tcBorders>
            <w:shd w:val="clear" w:color="auto" w:fill="auto"/>
            <w:noWrap/>
            <w:vAlign w:val="bottom"/>
            <w:hideMark/>
          </w:tcPr>
          <w:p w14:paraId="27C77CC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B0A6C75" w14:textId="77777777" w:rsidR="004C78C0" w:rsidRPr="008D777B" w:rsidRDefault="004C78C0" w:rsidP="00654255">
            <w:pPr>
              <w:jc w:val="right"/>
              <w:rPr>
                <w:rFonts w:cstheme="minorHAnsi"/>
                <w:color w:val="000000"/>
                <w:sz w:val="16"/>
                <w:szCs w:val="16"/>
              </w:rPr>
            </w:pPr>
            <w:r w:rsidRPr="008D777B">
              <w:rPr>
                <w:color w:val="000000"/>
                <w:sz w:val="16"/>
              </w:rPr>
              <w:t>67,0</w:t>
            </w:r>
          </w:p>
        </w:tc>
        <w:tc>
          <w:tcPr>
            <w:tcW w:w="854" w:type="dxa"/>
            <w:tcBorders>
              <w:top w:val="nil"/>
              <w:left w:val="nil"/>
              <w:bottom w:val="single" w:sz="4" w:space="0" w:color="FFFFFF"/>
              <w:right w:val="single" w:sz="4" w:space="0" w:color="FFFFFF"/>
            </w:tcBorders>
            <w:shd w:val="clear" w:color="auto" w:fill="auto"/>
            <w:noWrap/>
            <w:vAlign w:val="bottom"/>
            <w:hideMark/>
          </w:tcPr>
          <w:p w14:paraId="49EF84A4" w14:textId="77777777" w:rsidR="004C78C0" w:rsidRPr="008D777B" w:rsidRDefault="004C78C0" w:rsidP="00654255">
            <w:pPr>
              <w:jc w:val="right"/>
              <w:rPr>
                <w:rFonts w:cstheme="minorHAnsi"/>
                <w:color w:val="000000"/>
                <w:sz w:val="16"/>
                <w:szCs w:val="16"/>
              </w:rPr>
            </w:pPr>
            <w:r w:rsidRPr="008D777B">
              <w:rPr>
                <w:color w:val="000000"/>
                <w:sz w:val="16"/>
              </w:rPr>
              <w:t>56,4</w:t>
            </w:r>
          </w:p>
        </w:tc>
        <w:tc>
          <w:tcPr>
            <w:tcW w:w="673" w:type="dxa"/>
            <w:tcBorders>
              <w:top w:val="nil"/>
              <w:left w:val="nil"/>
              <w:bottom w:val="single" w:sz="4" w:space="0" w:color="FFFFFF"/>
              <w:right w:val="nil"/>
            </w:tcBorders>
            <w:shd w:val="clear" w:color="auto" w:fill="auto"/>
            <w:noWrap/>
            <w:vAlign w:val="bottom"/>
            <w:hideMark/>
          </w:tcPr>
          <w:p w14:paraId="04C07401" w14:textId="77777777" w:rsidR="004C78C0" w:rsidRPr="008D777B" w:rsidRDefault="004C78C0" w:rsidP="00654255">
            <w:pPr>
              <w:jc w:val="right"/>
              <w:rPr>
                <w:rFonts w:cstheme="minorHAnsi"/>
                <w:color w:val="000000"/>
                <w:sz w:val="16"/>
                <w:szCs w:val="16"/>
              </w:rPr>
            </w:pPr>
            <w:r w:rsidRPr="008D777B">
              <w:rPr>
                <w:color w:val="000000"/>
                <w:sz w:val="16"/>
              </w:rPr>
              <w:t>-15,9</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62EF778" w14:textId="77777777" w:rsidR="004C78C0" w:rsidRPr="008D777B" w:rsidRDefault="004C78C0" w:rsidP="00654255">
            <w:pPr>
              <w:jc w:val="right"/>
              <w:rPr>
                <w:rFonts w:cstheme="minorHAnsi"/>
                <w:color w:val="000000"/>
                <w:sz w:val="16"/>
                <w:szCs w:val="16"/>
              </w:rPr>
            </w:pPr>
            <w:r w:rsidRPr="008D777B">
              <w:rPr>
                <w:color w:val="000000"/>
                <w:sz w:val="16"/>
              </w:rPr>
              <w:t>6,0</w:t>
            </w:r>
          </w:p>
        </w:tc>
      </w:tr>
      <w:tr w:rsidR="004C78C0" w:rsidRPr="008D777B" w14:paraId="1BB60ADF"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B296CFA" w14:textId="77777777" w:rsidR="004C78C0" w:rsidRPr="008D777B" w:rsidRDefault="004C78C0" w:rsidP="00654255">
            <w:pPr>
              <w:rPr>
                <w:rFonts w:cstheme="minorHAnsi"/>
                <w:color w:val="000000"/>
                <w:sz w:val="16"/>
                <w:szCs w:val="16"/>
              </w:rPr>
            </w:pPr>
            <w:r w:rsidRPr="008D777B">
              <w:rPr>
                <w:color w:val="000000"/>
                <w:sz w:val="16"/>
              </w:rPr>
              <w:t>Philippines</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3F46879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0FCB89DD" w14:textId="77777777" w:rsidR="004C78C0" w:rsidRPr="008D777B" w:rsidRDefault="004C78C0" w:rsidP="00654255">
            <w:pPr>
              <w:jc w:val="right"/>
              <w:rPr>
                <w:rFonts w:cstheme="minorHAnsi"/>
                <w:color w:val="000000"/>
                <w:sz w:val="16"/>
                <w:szCs w:val="16"/>
              </w:rPr>
            </w:pPr>
            <w:r w:rsidRPr="008D777B">
              <w:rPr>
                <w:color w:val="000000"/>
                <w:sz w:val="16"/>
              </w:rPr>
              <w:t>313,7</w:t>
            </w:r>
          </w:p>
        </w:tc>
        <w:tc>
          <w:tcPr>
            <w:tcW w:w="990" w:type="dxa"/>
            <w:tcBorders>
              <w:top w:val="nil"/>
              <w:left w:val="nil"/>
              <w:bottom w:val="single" w:sz="4" w:space="0" w:color="FFFFFF"/>
              <w:right w:val="single" w:sz="4" w:space="0" w:color="FFFFFF"/>
            </w:tcBorders>
            <w:shd w:val="clear" w:color="auto" w:fill="auto"/>
            <w:vAlign w:val="bottom"/>
            <w:hideMark/>
          </w:tcPr>
          <w:p w14:paraId="0E74A201" w14:textId="77777777" w:rsidR="004C78C0" w:rsidRPr="008D777B" w:rsidRDefault="004C78C0" w:rsidP="00654255">
            <w:pPr>
              <w:jc w:val="right"/>
              <w:rPr>
                <w:rFonts w:cstheme="minorHAnsi"/>
                <w:color w:val="000000"/>
                <w:sz w:val="16"/>
                <w:szCs w:val="16"/>
              </w:rPr>
            </w:pPr>
            <w:r w:rsidRPr="008D777B">
              <w:rPr>
                <w:color w:val="000000"/>
                <w:sz w:val="16"/>
              </w:rPr>
              <w:t>293,7</w:t>
            </w:r>
          </w:p>
        </w:tc>
        <w:tc>
          <w:tcPr>
            <w:tcW w:w="673" w:type="dxa"/>
            <w:tcBorders>
              <w:top w:val="nil"/>
              <w:left w:val="nil"/>
              <w:bottom w:val="single" w:sz="4" w:space="0" w:color="FFFFFF"/>
              <w:right w:val="single" w:sz="4" w:space="0" w:color="auto"/>
            </w:tcBorders>
            <w:shd w:val="clear" w:color="auto" w:fill="auto"/>
            <w:noWrap/>
            <w:vAlign w:val="bottom"/>
            <w:hideMark/>
          </w:tcPr>
          <w:p w14:paraId="2B77B51D" w14:textId="77777777" w:rsidR="004C78C0" w:rsidRPr="008D777B" w:rsidRDefault="004C78C0" w:rsidP="00654255">
            <w:pPr>
              <w:jc w:val="right"/>
              <w:rPr>
                <w:rFonts w:cstheme="minorHAnsi"/>
                <w:color w:val="000000"/>
                <w:sz w:val="16"/>
                <w:szCs w:val="16"/>
              </w:rPr>
            </w:pPr>
            <w:r w:rsidRPr="008D777B">
              <w:rPr>
                <w:color w:val="000000"/>
                <w:sz w:val="16"/>
              </w:rPr>
              <w:t>-6,4</w:t>
            </w:r>
          </w:p>
        </w:tc>
        <w:tc>
          <w:tcPr>
            <w:tcW w:w="829" w:type="dxa"/>
            <w:tcBorders>
              <w:top w:val="nil"/>
              <w:left w:val="nil"/>
              <w:bottom w:val="single" w:sz="4" w:space="0" w:color="FFFFFF"/>
              <w:right w:val="single" w:sz="4" w:space="0" w:color="FFFFFF"/>
            </w:tcBorders>
            <w:shd w:val="clear" w:color="auto" w:fill="auto"/>
            <w:noWrap/>
            <w:vAlign w:val="bottom"/>
            <w:hideMark/>
          </w:tcPr>
          <w:p w14:paraId="2A6BEE9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09AC83D4" w14:textId="77777777" w:rsidR="004C78C0" w:rsidRPr="008D777B" w:rsidRDefault="004C78C0" w:rsidP="00654255">
            <w:pPr>
              <w:jc w:val="right"/>
              <w:rPr>
                <w:rFonts w:cstheme="minorHAnsi"/>
                <w:color w:val="000000"/>
                <w:sz w:val="16"/>
                <w:szCs w:val="16"/>
              </w:rPr>
            </w:pPr>
            <w:r w:rsidRPr="008D777B">
              <w:rPr>
                <w:color w:val="000000"/>
                <w:sz w:val="16"/>
              </w:rPr>
              <w:t>47,1</w:t>
            </w:r>
          </w:p>
        </w:tc>
        <w:tc>
          <w:tcPr>
            <w:tcW w:w="854" w:type="dxa"/>
            <w:tcBorders>
              <w:top w:val="nil"/>
              <w:left w:val="nil"/>
              <w:bottom w:val="single" w:sz="4" w:space="0" w:color="FFFFFF"/>
              <w:right w:val="single" w:sz="4" w:space="0" w:color="FFFFFF"/>
            </w:tcBorders>
            <w:shd w:val="clear" w:color="auto" w:fill="auto"/>
            <w:noWrap/>
            <w:vAlign w:val="bottom"/>
            <w:hideMark/>
          </w:tcPr>
          <w:p w14:paraId="3A4A0A3F" w14:textId="77777777" w:rsidR="004C78C0" w:rsidRPr="008D777B" w:rsidRDefault="004C78C0" w:rsidP="00654255">
            <w:pPr>
              <w:jc w:val="right"/>
              <w:rPr>
                <w:rFonts w:cstheme="minorHAnsi"/>
                <w:color w:val="000000"/>
                <w:sz w:val="16"/>
                <w:szCs w:val="16"/>
              </w:rPr>
            </w:pPr>
            <w:r w:rsidRPr="008D777B">
              <w:rPr>
                <w:color w:val="000000"/>
                <w:sz w:val="16"/>
              </w:rPr>
              <w:t>53,5</w:t>
            </w:r>
          </w:p>
        </w:tc>
        <w:tc>
          <w:tcPr>
            <w:tcW w:w="673" w:type="dxa"/>
            <w:tcBorders>
              <w:top w:val="nil"/>
              <w:left w:val="nil"/>
              <w:bottom w:val="single" w:sz="4" w:space="0" w:color="FFFFFF"/>
              <w:right w:val="nil"/>
            </w:tcBorders>
            <w:shd w:val="clear" w:color="auto" w:fill="auto"/>
            <w:noWrap/>
            <w:vAlign w:val="bottom"/>
            <w:hideMark/>
          </w:tcPr>
          <w:p w14:paraId="4577EF80" w14:textId="77777777" w:rsidR="004C78C0" w:rsidRPr="008D777B" w:rsidRDefault="004C78C0" w:rsidP="00654255">
            <w:pPr>
              <w:jc w:val="right"/>
              <w:rPr>
                <w:rFonts w:cstheme="minorHAnsi"/>
                <w:color w:val="000000"/>
                <w:sz w:val="16"/>
                <w:szCs w:val="16"/>
              </w:rPr>
            </w:pPr>
            <w:r w:rsidRPr="008D777B">
              <w:rPr>
                <w:color w:val="000000"/>
                <w:sz w:val="16"/>
              </w:rPr>
              <w:t>13,5</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252BC876" w14:textId="77777777" w:rsidR="004C78C0" w:rsidRPr="008D777B" w:rsidRDefault="004C78C0" w:rsidP="00654255">
            <w:pPr>
              <w:jc w:val="right"/>
              <w:rPr>
                <w:rFonts w:cstheme="minorHAnsi"/>
                <w:color w:val="000000"/>
                <w:sz w:val="16"/>
                <w:szCs w:val="16"/>
              </w:rPr>
            </w:pPr>
            <w:r w:rsidRPr="008D777B">
              <w:rPr>
                <w:color w:val="000000"/>
                <w:sz w:val="16"/>
              </w:rPr>
              <w:t>18,2</w:t>
            </w:r>
          </w:p>
        </w:tc>
      </w:tr>
      <w:tr w:rsidR="004C78C0" w:rsidRPr="008D777B" w14:paraId="39380037"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1CBC2BD" w14:textId="77777777" w:rsidR="004C78C0" w:rsidRPr="008D777B" w:rsidRDefault="004C78C0" w:rsidP="00654255">
            <w:pPr>
              <w:rPr>
                <w:rFonts w:cstheme="minorHAnsi"/>
                <w:color w:val="000000"/>
                <w:sz w:val="16"/>
                <w:szCs w:val="16"/>
              </w:rPr>
            </w:pPr>
            <w:r w:rsidRPr="008D777B">
              <w:rPr>
                <w:color w:val="000000"/>
                <w:sz w:val="16"/>
              </w:rPr>
              <w:t>Tunisie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70FA893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566E60BD" w14:textId="77777777" w:rsidR="004C78C0" w:rsidRPr="008D777B" w:rsidRDefault="004C78C0" w:rsidP="00654255">
            <w:pPr>
              <w:jc w:val="right"/>
              <w:rPr>
                <w:rFonts w:cstheme="minorHAnsi"/>
                <w:color w:val="000000"/>
                <w:sz w:val="16"/>
                <w:szCs w:val="16"/>
              </w:rPr>
            </w:pPr>
            <w:r w:rsidRPr="008D777B">
              <w:rPr>
                <w:color w:val="000000"/>
                <w:sz w:val="16"/>
              </w:rPr>
              <w:t>13,8</w:t>
            </w:r>
          </w:p>
        </w:tc>
        <w:tc>
          <w:tcPr>
            <w:tcW w:w="990" w:type="dxa"/>
            <w:tcBorders>
              <w:top w:val="nil"/>
              <w:left w:val="nil"/>
              <w:bottom w:val="single" w:sz="4" w:space="0" w:color="FFFFFF"/>
              <w:right w:val="single" w:sz="4" w:space="0" w:color="FFFFFF"/>
            </w:tcBorders>
            <w:shd w:val="clear" w:color="auto" w:fill="auto"/>
            <w:vAlign w:val="bottom"/>
            <w:hideMark/>
          </w:tcPr>
          <w:p w14:paraId="63820C33" w14:textId="77777777" w:rsidR="004C78C0" w:rsidRPr="008D777B" w:rsidRDefault="004C78C0" w:rsidP="00654255">
            <w:pPr>
              <w:jc w:val="right"/>
              <w:rPr>
                <w:rFonts w:cstheme="minorHAnsi"/>
                <w:color w:val="000000"/>
                <w:sz w:val="16"/>
                <w:szCs w:val="16"/>
              </w:rPr>
            </w:pPr>
            <w:r w:rsidRPr="008D777B">
              <w:rPr>
                <w:color w:val="000000"/>
                <w:sz w:val="16"/>
              </w:rPr>
              <w:t>9,1</w:t>
            </w:r>
          </w:p>
        </w:tc>
        <w:tc>
          <w:tcPr>
            <w:tcW w:w="673" w:type="dxa"/>
            <w:tcBorders>
              <w:top w:val="nil"/>
              <w:left w:val="nil"/>
              <w:bottom w:val="single" w:sz="4" w:space="0" w:color="FFFFFF"/>
              <w:right w:val="single" w:sz="4" w:space="0" w:color="auto"/>
            </w:tcBorders>
            <w:shd w:val="clear" w:color="auto" w:fill="auto"/>
            <w:noWrap/>
            <w:vAlign w:val="bottom"/>
            <w:hideMark/>
          </w:tcPr>
          <w:p w14:paraId="0F1ADCB1" w14:textId="77777777" w:rsidR="004C78C0" w:rsidRPr="008D777B" w:rsidRDefault="004C78C0" w:rsidP="00654255">
            <w:pPr>
              <w:jc w:val="right"/>
              <w:rPr>
                <w:rFonts w:cstheme="minorHAnsi"/>
                <w:color w:val="000000"/>
                <w:sz w:val="16"/>
                <w:szCs w:val="16"/>
              </w:rPr>
            </w:pPr>
            <w:r w:rsidRPr="008D777B">
              <w:rPr>
                <w:color w:val="000000"/>
                <w:sz w:val="16"/>
              </w:rPr>
              <w:t>-34,2</w:t>
            </w:r>
          </w:p>
        </w:tc>
        <w:tc>
          <w:tcPr>
            <w:tcW w:w="829" w:type="dxa"/>
            <w:tcBorders>
              <w:top w:val="nil"/>
              <w:left w:val="nil"/>
              <w:bottom w:val="single" w:sz="4" w:space="0" w:color="FFFFFF"/>
              <w:right w:val="single" w:sz="4" w:space="0" w:color="FFFFFF"/>
            </w:tcBorders>
            <w:shd w:val="clear" w:color="auto" w:fill="auto"/>
            <w:noWrap/>
            <w:vAlign w:val="bottom"/>
            <w:hideMark/>
          </w:tcPr>
          <w:p w14:paraId="149135D0"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21CA394B" w14:textId="77777777" w:rsidR="004C78C0" w:rsidRPr="008D777B" w:rsidRDefault="004C78C0" w:rsidP="00654255">
            <w:pPr>
              <w:jc w:val="right"/>
              <w:rPr>
                <w:rFonts w:cstheme="minorHAnsi"/>
                <w:color w:val="000000"/>
                <w:sz w:val="16"/>
                <w:szCs w:val="16"/>
              </w:rPr>
            </w:pPr>
            <w:r w:rsidRPr="008D777B">
              <w:rPr>
                <w:color w:val="000000"/>
                <w:sz w:val="16"/>
              </w:rPr>
              <w:t>44,2</w:t>
            </w:r>
          </w:p>
        </w:tc>
        <w:tc>
          <w:tcPr>
            <w:tcW w:w="854" w:type="dxa"/>
            <w:tcBorders>
              <w:top w:val="nil"/>
              <w:left w:val="nil"/>
              <w:bottom w:val="single" w:sz="4" w:space="0" w:color="FFFFFF"/>
              <w:right w:val="single" w:sz="4" w:space="0" w:color="FFFFFF"/>
            </w:tcBorders>
            <w:shd w:val="clear" w:color="auto" w:fill="auto"/>
            <w:noWrap/>
            <w:vAlign w:val="bottom"/>
            <w:hideMark/>
          </w:tcPr>
          <w:p w14:paraId="6604A5B8" w14:textId="77777777" w:rsidR="004C78C0" w:rsidRPr="008D777B" w:rsidRDefault="004C78C0" w:rsidP="00654255">
            <w:pPr>
              <w:jc w:val="right"/>
              <w:rPr>
                <w:rFonts w:cstheme="minorHAnsi"/>
                <w:color w:val="000000"/>
                <w:sz w:val="16"/>
                <w:szCs w:val="16"/>
              </w:rPr>
            </w:pPr>
            <w:r w:rsidRPr="008D777B">
              <w:rPr>
                <w:color w:val="000000"/>
                <w:sz w:val="16"/>
              </w:rPr>
              <w:t>49,6</w:t>
            </w:r>
          </w:p>
        </w:tc>
        <w:tc>
          <w:tcPr>
            <w:tcW w:w="673" w:type="dxa"/>
            <w:tcBorders>
              <w:top w:val="nil"/>
              <w:left w:val="nil"/>
              <w:bottom w:val="single" w:sz="4" w:space="0" w:color="FFFFFF"/>
              <w:right w:val="nil"/>
            </w:tcBorders>
            <w:shd w:val="clear" w:color="auto" w:fill="auto"/>
            <w:noWrap/>
            <w:vAlign w:val="bottom"/>
            <w:hideMark/>
          </w:tcPr>
          <w:p w14:paraId="5B567BE1" w14:textId="77777777" w:rsidR="004C78C0" w:rsidRPr="008D777B" w:rsidRDefault="004C78C0" w:rsidP="00654255">
            <w:pPr>
              <w:jc w:val="right"/>
              <w:rPr>
                <w:rFonts w:cstheme="minorHAnsi"/>
                <w:color w:val="000000"/>
                <w:sz w:val="16"/>
                <w:szCs w:val="16"/>
              </w:rPr>
            </w:pPr>
            <w:r w:rsidRPr="008D777B">
              <w:rPr>
                <w:color w:val="000000"/>
                <w:sz w:val="16"/>
              </w:rPr>
              <w:t>12,4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1FDB4021" w14:textId="77777777" w:rsidR="004C78C0" w:rsidRPr="008D777B" w:rsidRDefault="004C78C0" w:rsidP="00654255">
            <w:pPr>
              <w:jc w:val="right"/>
              <w:rPr>
                <w:rFonts w:cstheme="minorHAnsi"/>
                <w:color w:val="000000"/>
                <w:sz w:val="16"/>
                <w:szCs w:val="16"/>
              </w:rPr>
            </w:pPr>
            <w:r w:rsidRPr="008D777B">
              <w:rPr>
                <w:color w:val="000000"/>
                <w:sz w:val="16"/>
              </w:rPr>
              <w:t>548,3</w:t>
            </w:r>
          </w:p>
        </w:tc>
      </w:tr>
      <w:tr w:rsidR="004C78C0" w:rsidRPr="008D777B" w14:paraId="63F908D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346D09BC" w14:textId="77777777" w:rsidR="004C78C0" w:rsidRPr="008D777B" w:rsidRDefault="004C78C0" w:rsidP="00654255">
            <w:pPr>
              <w:rPr>
                <w:rFonts w:cstheme="minorHAnsi"/>
                <w:color w:val="000000"/>
                <w:sz w:val="16"/>
                <w:szCs w:val="16"/>
              </w:rPr>
            </w:pPr>
            <w:r w:rsidRPr="008D777B">
              <w:rPr>
                <w:color w:val="000000"/>
                <w:sz w:val="16"/>
              </w:rPr>
              <w:t>Ukraine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61B3D46" w14:textId="77777777" w:rsidR="004C78C0" w:rsidRPr="008D777B" w:rsidRDefault="004C78C0" w:rsidP="00654255">
            <w:pPr>
              <w:jc w:val="right"/>
              <w:rPr>
                <w:rFonts w:cstheme="minorHAnsi"/>
                <w:color w:val="000000"/>
                <w:sz w:val="16"/>
                <w:szCs w:val="16"/>
              </w:rPr>
            </w:pPr>
            <w:r w:rsidRPr="008D777B">
              <w:rPr>
                <w:color w:val="000000"/>
                <w:sz w:val="16"/>
              </w:rPr>
              <w:t>0,8</w:t>
            </w:r>
          </w:p>
        </w:tc>
        <w:tc>
          <w:tcPr>
            <w:tcW w:w="990" w:type="dxa"/>
            <w:tcBorders>
              <w:top w:val="nil"/>
              <w:left w:val="nil"/>
              <w:bottom w:val="single" w:sz="4" w:space="0" w:color="FFFFFF"/>
              <w:right w:val="single" w:sz="4" w:space="0" w:color="FFFFFF"/>
            </w:tcBorders>
            <w:shd w:val="clear" w:color="auto" w:fill="auto"/>
            <w:vAlign w:val="bottom"/>
            <w:hideMark/>
          </w:tcPr>
          <w:p w14:paraId="6E0A874F" w14:textId="77777777" w:rsidR="004C78C0" w:rsidRPr="008D777B" w:rsidRDefault="004C78C0" w:rsidP="00654255">
            <w:pPr>
              <w:jc w:val="right"/>
              <w:rPr>
                <w:rFonts w:cstheme="minorHAnsi"/>
                <w:color w:val="000000"/>
                <w:sz w:val="16"/>
                <w:szCs w:val="16"/>
              </w:rPr>
            </w:pPr>
            <w:r w:rsidRPr="008D777B">
              <w:rPr>
                <w:color w:val="000000"/>
                <w:sz w:val="16"/>
              </w:rPr>
              <w:t>12.112,1</w:t>
            </w:r>
          </w:p>
        </w:tc>
        <w:tc>
          <w:tcPr>
            <w:tcW w:w="990" w:type="dxa"/>
            <w:tcBorders>
              <w:top w:val="nil"/>
              <w:left w:val="nil"/>
              <w:bottom w:val="single" w:sz="4" w:space="0" w:color="FFFFFF"/>
              <w:right w:val="single" w:sz="4" w:space="0" w:color="FFFFFF"/>
            </w:tcBorders>
            <w:shd w:val="clear" w:color="auto" w:fill="auto"/>
            <w:vAlign w:val="bottom"/>
            <w:hideMark/>
          </w:tcPr>
          <w:p w14:paraId="24F5DC95" w14:textId="77777777" w:rsidR="004C78C0" w:rsidRPr="008D777B" w:rsidRDefault="004C78C0" w:rsidP="00654255">
            <w:pPr>
              <w:jc w:val="right"/>
              <w:rPr>
                <w:rFonts w:cstheme="minorHAnsi"/>
                <w:color w:val="000000"/>
                <w:sz w:val="16"/>
                <w:szCs w:val="16"/>
              </w:rPr>
            </w:pPr>
            <w:r w:rsidRPr="008D777B">
              <w:rPr>
                <w:color w:val="000000"/>
                <w:sz w:val="16"/>
              </w:rPr>
              <w:t>11.236,2</w:t>
            </w:r>
          </w:p>
        </w:tc>
        <w:tc>
          <w:tcPr>
            <w:tcW w:w="673" w:type="dxa"/>
            <w:tcBorders>
              <w:top w:val="nil"/>
              <w:left w:val="nil"/>
              <w:bottom w:val="single" w:sz="4" w:space="0" w:color="FFFFFF"/>
              <w:right w:val="single" w:sz="4" w:space="0" w:color="auto"/>
            </w:tcBorders>
            <w:shd w:val="clear" w:color="auto" w:fill="auto"/>
            <w:noWrap/>
            <w:vAlign w:val="bottom"/>
            <w:hideMark/>
          </w:tcPr>
          <w:p w14:paraId="071C15C7" w14:textId="77777777" w:rsidR="004C78C0" w:rsidRPr="008D777B" w:rsidRDefault="004C78C0" w:rsidP="00654255">
            <w:pPr>
              <w:jc w:val="right"/>
              <w:rPr>
                <w:rFonts w:cstheme="minorHAnsi"/>
                <w:color w:val="000000"/>
                <w:sz w:val="16"/>
                <w:szCs w:val="16"/>
              </w:rPr>
            </w:pPr>
            <w:r w:rsidRPr="008D777B">
              <w:rPr>
                <w:color w:val="000000"/>
                <w:sz w:val="16"/>
              </w:rPr>
              <w:t>-7,2</w:t>
            </w:r>
          </w:p>
        </w:tc>
        <w:tc>
          <w:tcPr>
            <w:tcW w:w="829" w:type="dxa"/>
            <w:tcBorders>
              <w:top w:val="nil"/>
              <w:left w:val="nil"/>
              <w:bottom w:val="single" w:sz="4" w:space="0" w:color="FFFFFF"/>
              <w:right w:val="single" w:sz="4" w:space="0" w:color="FFFFFF"/>
            </w:tcBorders>
            <w:shd w:val="clear" w:color="auto" w:fill="auto"/>
            <w:noWrap/>
            <w:vAlign w:val="bottom"/>
            <w:hideMark/>
          </w:tcPr>
          <w:p w14:paraId="5B7C180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42B1DEB7" w14:textId="77777777" w:rsidR="004C78C0" w:rsidRPr="008D777B" w:rsidRDefault="004C78C0" w:rsidP="00654255">
            <w:pPr>
              <w:jc w:val="right"/>
              <w:rPr>
                <w:rFonts w:cstheme="minorHAnsi"/>
                <w:color w:val="000000"/>
                <w:sz w:val="16"/>
                <w:szCs w:val="16"/>
              </w:rPr>
            </w:pPr>
            <w:r w:rsidRPr="008D777B">
              <w:rPr>
                <w:color w:val="000000"/>
                <w:sz w:val="16"/>
              </w:rPr>
              <w:t>237,5</w:t>
            </w:r>
          </w:p>
        </w:tc>
        <w:tc>
          <w:tcPr>
            <w:tcW w:w="854" w:type="dxa"/>
            <w:tcBorders>
              <w:top w:val="nil"/>
              <w:left w:val="nil"/>
              <w:bottom w:val="single" w:sz="4" w:space="0" w:color="FFFFFF"/>
              <w:right w:val="single" w:sz="4" w:space="0" w:color="FFFFFF"/>
            </w:tcBorders>
            <w:shd w:val="clear" w:color="auto" w:fill="auto"/>
            <w:noWrap/>
            <w:vAlign w:val="bottom"/>
            <w:hideMark/>
          </w:tcPr>
          <w:p w14:paraId="3CB9F217" w14:textId="77777777" w:rsidR="004C78C0" w:rsidRPr="008D777B" w:rsidRDefault="004C78C0" w:rsidP="00654255">
            <w:pPr>
              <w:jc w:val="right"/>
              <w:rPr>
                <w:rFonts w:cstheme="minorHAnsi"/>
                <w:color w:val="000000"/>
                <w:sz w:val="16"/>
                <w:szCs w:val="16"/>
              </w:rPr>
            </w:pPr>
            <w:r w:rsidRPr="008D777B">
              <w:rPr>
                <w:color w:val="000000"/>
                <w:sz w:val="16"/>
              </w:rPr>
              <w:t>49,5</w:t>
            </w:r>
          </w:p>
        </w:tc>
        <w:tc>
          <w:tcPr>
            <w:tcW w:w="673" w:type="dxa"/>
            <w:tcBorders>
              <w:top w:val="nil"/>
              <w:left w:val="nil"/>
              <w:bottom w:val="single" w:sz="4" w:space="0" w:color="FFFFFF"/>
              <w:right w:val="nil"/>
            </w:tcBorders>
            <w:shd w:val="clear" w:color="auto" w:fill="auto"/>
            <w:noWrap/>
            <w:vAlign w:val="bottom"/>
            <w:hideMark/>
          </w:tcPr>
          <w:p w14:paraId="44892D81" w14:textId="77777777" w:rsidR="004C78C0" w:rsidRPr="008D777B" w:rsidRDefault="004C78C0" w:rsidP="00654255">
            <w:pPr>
              <w:jc w:val="right"/>
              <w:rPr>
                <w:rFonts w:cstheme="minorHAnsi"/>
                <w:color w:val="000000"/>
                <w:sz w:val="16"/>
                <w:szCs w:val="16"/>
              </w:rPr>
            </w:pPr>
            <w:r w:rsidRPr="008D777B">
              <w:rPr>
                <w:color w:val="000000"/>
                <w:sz w:val="16"/>
              </w:rPr>
              <w:t>-79,2</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5DA37CD6" w14:textId="77777777" w:rsidR="004C78C0" w:rsidRPr="008D777B" w:rsidRDefault="004C78C0" w:rsidP="00654255">
            <w:pPr>
              <w:jc w:val="right"/>
              <w:rPr>
                <w:rFonts w:cstheme="minorHAnsi"/>
                <w:color w:val="000000"/>
                <w:sz w:val="16"/>
                <w:szCs w:val="16"/>
              </w:rPr>
            </w:pPr>
            <w:r w:rsidRPr="008D777B">
              <w:rPr>
                <w:color w:val="000000"/>
                <w:sz w:val="16"/>
              </w:rPr>
              <w:t>0,4</w:t>
            </w:r>
          </w:p>
        </w:tc>
      </w:tr>
      <w:tr w:rsidR="004C78C0" w:rsidRPr="008D777B" w14:paraId="3E4E53C0"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63D4030E" w14:textId="77777777" w:rsidR="004C78C0" w:rsidRPr="008D777B" w:rsidRDefault="004C78C0" w:rsidP="00654255">
            <w:pPr>
              <w:rPr>
                <w:rFonts w:cstheme="minorHAnsi"/>
                <w:color w:val="000000"/>
                <w:sz w:val="16"/>
                <w:szCs w:val="16"/>
              </w:rPr>
            </w:pPr>
            <w:r w:rsidRPr="008D777B">
              <w:rPr>
                <w:color w:val="000000"/>
                <w:sz w:val="16"/>
              </w:rPr>
              <w:t>Sierra Leone</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78614B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DD58825"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13D4E137"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68D0B26D"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c>
          <w:tcPr>
            <w:tcW w:w="829" w:type="dxa"/>
            <w:tcBorders>
              <w:top w:val="nil"/>
              <w:left w:val="nil"/>
              <w:bottom w:val="single" w:sz="4" w:space="0" w:color="FFFFFF"/>
              <w:right w:val="single" w:sz="4" w:space="0" w:color="FFFFFF"/>
            </w:tcBorders>
            <w:shd w:val="clear" w:color="auto" w:fill="auto"/>
            <w:noWrap/>
            <w:vAlign w:val="bottom"/>
            <w:hideMark/>
          </w:tcPr>
          <w:p w14:paraId="2959E953"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7958D3F0" w14:textId="77777777" w:rsidR="004C78C0" w:rsidRPr="008D777B" w:rsidRDefault="004C78C0" w:rsidP="00654255">
            <w:pPr>
              <w:jc w:val="right"/>
              <w:rPr>
                <w:rFonts w:cstheme="minorHAnsi"/>
                <w:color w:val="000000"/>
                <w:sz w:val="16"/>
                <w:szCs w:val="16"/>
              </w:rPr>
            </w:pPr>
            <w:r w:rsidRPr="008D777B">
              <w:rPr>
                <w:color w:val="000000"/>
                <w:sz w:val="16"/>
              </w:rPr>
              <w:t>142,7</w:t>
            </w:r>
          </w:p>
        </w:tc>
        <w:tc>
          <w:tcPr>
            <w:tcW w:w="854" w:type="dxa"/>
            <w:tcBorders>
              <w:top w:val="nil"/>
              <w:left w:val="nil"/>
              <w:bottom w:val="single" w:sz="4" w:space="0" w:color="FFFFFF"/>
              <w:right w:val="single" w:sz="4" w:space="0" w:color="FFFFFF"/>
            </w:tcBorders>
            <w:shd w:val="clear" w:color="auto" w:fill="auto"/>
            <w:noWrap/>
            <w:vAlign w:val="bottom"/>
            <w:hideMark/>
          </w:tcPr>
          <w:p w14:paraId="5FC7A6A1" w14:textId="77777777" w:rsidR="004C78C0" w:rsidRPr="008D777B" w:rsidRDefault="004C78C0" w:rsidP="00654255">
            <w:pPr>
              <w:jc w:val="right"/>
              <w:rPr>
                <w:rFonts w:cstheme="minorHAnsi"/>
                <w:color w:val="000000"/>
                <w:sz w:val="16"/>
                <w:szCs w:val="16"/>
              </w:rPr>
            </w:pPr>
            <w:r w:rsidRPr="008D777B">
              <w:rPr>
                <w:color w:val="000000"/>
                <w:sz w:val="16"/>
              </w:rPr>
              <w:t>49,4</w:t>
            </w:r>
          </w:p>
        </w:tc>
        <w:tc>
          <w:tcPr>
            <w:tcW w:w="673" w:type="dxa"/>
            <w:tcBorders>
              <w:top w:val="nil"/>
              <w:left w:val="nil"/>
              <w:bottom w:val="single" w:sz="4" w:space="0" w:color="FFFFFF"/>
              <w:right w:val="nil"/>
            </w:tcBorders>
            <w:shd w:val="clear" w:color="auto" w:fill="auto"/>
            <w:noWrap/>
            <w:vAlign w:val="bottom"/>
            <w:hideMark/>
          </w:tcPr>
          <w:p w14:paraId="095065DA" w14:textId="77777777" w:rsidR="004C78C0" w:rsidRPr="008D777B" w:rsidRDefault="004C78C0" w:rsidP="00654255">
            <w:pPr>
              <w:jc w:val="right"/>
              <w:rPr>
                <w:rFonts w:cstheme="minorHAnsi"/>
                <w:color w:val="000000"/>
                <w:sz w:val="16"/>
                <w:szCs w:val="16"/>
              </w:rPr>
            </w:pPr>
            <w:r w:rsidRPr="008D777B">
              <w:rPr>
                <w:color w:val="000000"/>
                <w:sz w:val="16"/>
              </w:rPr>
              <w:t>-65,4</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6C601D3B"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519C75D9" w14:textId="77777777" w:rsidTr="00654255">
        <w:tc>
          <w:tcPr>
            <w:tcW w:w="1304" w:type="dxa"/>
            <w:tcBorders>
              <w:top w:val="nil"/>
              <w:left w:val="single" w:sz="4" w:space="0" w:color="auto"/>
              <w:bottom w:val="single" w:sz="4" w:space="0" w:color="FFFFFF"/>
              <w:right w:val="nil"/>
            </w:tcBorders>
            <w:shd w:val="clear" w:color="auto" w:fill="auto"/>
            <w:vAlign w:val="bottom"/>
            <w:hideMark/>
          </w:tcPr>
          <w:p w14:paraId="5DEFB534" w14:textId="77777777" w:rsidR="004C78C0" w:rsidRPr="008D777B" w:rsidRDefault="004C78C0" w:rsidP="00654255">
            <w:pPr>
              <w:rPr>
                <w:rFonts w:cstheme="minorHAnsi"/>
                <w:color w:val="000000"/>
                <w:sz w:val="16"/>
                <w:szCs w:val="16"/>
              </w:rPr>
            </w:pPr>
            <w:r w:rsidRPr="008D777B">
              <w:rPr>
                <w:color w:val="000000"/>
                <w:sz w:val="16"/>
              </w:rPr>
              <w:t>Oman</w:t>
            </w:r>
          </w:p>
        </w:tc>
        <w:tc>
          <w:tcPr>
            <w:tcW w:w="905" w:type="dxa"/>
            <w:tcBorders>
              <w:top w:val="nil"/>
              <w:left w:val="single" w:sz="4" w:space="0" w:color="auto"/>
              <w:bottom w:val="single" w:sz="4" w:space="0" w:color="FFFFFF"/>
              <w:right w:val="single" w:sz="4" w:space="0" w:color="FFFFFF"/>
            </w:tcBorders>
            <w:shd w:val="clear" w:color="auto" w:fill="auto"/>
            <w:vAlign w:val="bottom"/>
            <w:hideMark/>
          </w:tcPr>
          <w:p w14:paraId="50077E88"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990" w:type="dxa"/>
            <w:tcBorders>
              <w:top w:val="nil"/>
              <w:left w:val="nil"/>
              <w:bottom w:val="single" w:sz="4" w:space="0" w:color="FFFFFF"/>
              <w:right w:val="single" w:sz="4" w:space="0" w:color="FFFFFF"/>
            </w:tcBorders>
            <w:shd w:val="clear" w:color="auto" w:fill="auto"/>
            <w:vAlign w:val="bottom"/>
            <w:hideMark/>
          </w:tcPr>
          <w:p w14:paraId="4A8DFDCC"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990" w:type="dxa"/>
            <w:tcBorders>
              <w:top w:val="nil"/>
              <w:left w:val="nil"/>
              <w:bottom w:val="single" w:sz="4" w:space="0" w:color="FFFFFF"/>
              <w:right w:val="single" w:sz="4" w:space="0" w:color="FFFFFF"/>
            </w:tcBorders>
            <w:shd w:val="clear" w:color="auto" w:fill="auto"/>
            <w:vAlign w:val="bottom"/>
            <w:hideMark/>
          </w:tcPr>
          <w:p w14:paraId="444E6582"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673" w:type="dxa"/>
            <w:tcBorders>
              <w:top w:val="nil"/>
              <w:left w:val="nil"/>
              <w:bottom w:val="single" w:sz="4" w:space="0" w:color="FFFFFF"/>
              <w:right w:val="single" w:sz="4" w:space="0" w:color="auto"/>
            </w:tcBorders>
            <w:shd w:val="clear" w:color="auto" w:fill="auto"/>
            <w:noWrap/>
            <w:vAlign w:val="bottom"/>
            <w:hideMark/>
          </w:tcPr>
          <w:p w14:paraId="0E99035F" w14:textId="77777777" w:rsidR="004C78C0" w:rsidRPr="008D777B" w:rsidRDefault="004C78C0" w:rsidP="00654255">
            <w:pPr>
              <w:jc w:val="right"/>
              <w:rPr>
                <w:rFonts w:cstheme="minorHAnsi"/>
                <w:color w:val="000000"/>
                <w:sz w:val="16"/>
                <w:szCs w:val="16"/>
              </w:rPr>
            </w:pPr>
            <w:r w:rsidRPr="008D777B">
              <w:rPr>
                <w:color w:val="000000"/>
                <w:sz w:val="16"/>
              </w:rPr>
              <w:t>-100,0</w:t>
            </w:r>
          </w:p>
        </w:tc>
        <w:tc>
          <w:tcPr>
            <w:tcW w:w="829" w:type="dxa"/>
            <w:tcBorders>
              <w:top w:val="nil"/>
              <w:left w:val="nil"/>
              <w:bottom w:val="single" w:sz="4" w:space="0" w:color="FFFFFF"/>
              <w:right w:val="single" w:sz="4" w:space="0" w:color="FFFFFF"/>
            </w:tcBorders>
            <w:shd w:val="clear" w:color="auto" w:fill="auto"/>
            <w:noWrap/>
            <w:vAlign w:val="bottom"/>
            <w:hideMark/>
          </w:tcPr>
          <w:p w14:paraId="1F231081"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single" w:sz="4" w:space="0" w:color="FFFFFF"/>
              <w:right w:val="single" w:sz="4" w:space="0" w:color="FFFFFF"/>
            </w:tcBorders>
            <w:shd w:val="clear" w:color="auto" w:fill="auto"/>
            <w:noWrap/>
            <w:vAlign w:val="bottom"/>
            <w:hideMark/>
          </w:tcPr>
          <w:p w14:paraId="1F3CF929" w14:textId="77777777" w:rsidR="004C78C0" w:rsidRPr="008D777B" w:rsidRDefault="004C78C0" w:rsidP="00654255">
            <w:pPr>
              <w:jc w:val="right"/>
              <w:rPr>
                <w:rFonts w:cstheme="minorHAnsi"/>
                <w:color w:val="000000"/>
                <w:sz w:val="16"/>
                <w:szCs w:val="16"/>
              </w:rPr>
            </w:pPr>
            <w:r w:rsidRPr="008D777B">
              <w:rPr>
                <w:color w:val="000000"/>
                <w:sz w:val="16"/>
              </w:rPr>
              <w:t>60,8</w:t>
            </w:r>
          </w:p>
        </w:tc>
        <w:tc>
          <w:tcPr>
            <w:tcW w:w="854" w:type="dxa"/>
            <w:tcBorders>
              <w:top w:val="nil"/>
              <w:left w:val="nil"/>
              <w:bottom w:val="single" w:sz="4" w:space="0" w:color="FFFFFF"/>
              <w:right w:val="single" w:sz="4" w:space="0" w:color="FFFFFF"/>
            </w:tcBorders>
            <w:shd w:val="clear" w:color="auto" w:fill="auto"/>
            <w:noWrap/>
            <w:vAlign w:val="bottom"/>
            <w:hideMark/>
          </w:tcPr>
          <w:p w14:paraId="012F5AA3" w14:textId="77777777" w:rsidR="004C78C0" w:rsidRPr="008D777B" w:rsidRDefault="004C78C0" w:rsidP="00654255">
            <w:pPr>
              <w:jc w:val="right"/>
              <w:rPr>
                <w:rFonts w:cstheme="minorHAnsi"/>
                <w:color w:val="000000"/>
                <w:sz w:val="16"/>
                <w:szCs w:val="16"/>
              </w:rPr>
            </w:pPr>
            <w:r w:rsidRPr="008D777B">
              <w:rPr>
                <w:color w:val="000000"/>
                <w:sz w:val="16"/>
              </w:rPr>
              <w:t>47,9</w:t>
            </w:r>
          </w:p>
        </w:tc>
        <w:tc>
          <w:tcPr>
            <w:tcW w:w="673" w:type="dxa"/>
            <w:tcBorders>
              <w:top w:val="nil"/>
              <w:left w:val="nil"/>
              <w:bottom w:val="single" w:sz="4" w:space="0" w:color="FFFFFF"/>
              <w:right w:val="nil"/>
            </w:tcBorders>
            <w:shd w:val="clear" w:color="auto" w:fill="auto"/>
            <w:noWrap/>
            <w:vAlign w:val="bottom"/>
            <w:hideMark/>
          </w:tcPr>
          <w:p w14:paraId="10B4D04C" w14:textId="77777777" w:rsidR="004C78C0" w:rsidRPr="008D777B" w:rsidRDefault="004C78C0" w:rsidP="00654255">
            <w:pPr>
              <w:jc w:val="right"/>
              <w:rPr>
                <w:rFonts w:cstheme="minorHAnsi"/>
                <w:color w:val="000000"/>
                <w:sz w:val="16"/>
                <w:szCs w:val="16"/>
              </w:rPr>
            </w:pPr>
            <w:r w:rsidRPr="008D777B">
              <w:rPr>
                <w:color w:val="000000"/>
                <w:sz w:val="16"/>
              </w:rPr>
              <w:t>-21,1</w:t>
            </w:r>
          </w:p>
        </w:tc>
        <w:tc>
          <w:tcPr>
            <w:tcW w:w="991" w:type="dxa"/>
            <w:tcBorders>
              <w:top w:val="nil"/>
              <w:left w:val="single" w:sz="4" w:space="0" w:color="auto"/>
              <w:bottom w:val="single" w:sz="4" w:space="0" w:color="FFFFFF"/>
              <w:right w:val="single" w:sz="4" w:space="0" w:color="auto"/>
            </w:tcBorders>
            <w:shd w:val="clear" w:color="auto" w:fill="auto"/>
            <w:noWrap/>
            <w:vAlign w:val="bottom"/>
            <w:hideMark/>
          </w:tcPr>
          <w:p w14:paraId="03A7A61E" w14:textId="77777777" w:rsidR="004C78C0" w:rsidRPr="008D777B" w:rsidRDefault="004C78C0" w:rsidP="00654255">
            <w:pPr>
              <w:jc w:val="right"/>
              <w:rPr>
                <w:rFonts w:cstheme="minorHAnsi"/>
                <w:color w:val="000000"/>
                <w:sz w:val="16"/>
                <w:szCs w:val="16"/>
              </w:rPr>
            </w:pPr>
            <w:r w:rsidRPr="008D777B">
              <w:rPr>
                <w:color w:val="000000"/>
                <w:sz w:val="16"/>
              </w:rPr>
              <w:t xml:space="preserve">– </w:t>
            </w:r>
          </w:p>
        </w:tc>
      </w:tr>
      <w:tr w:rsidR="004C78C0" w:rsidRPr="008D777B" w14:paraId="208F98E8" w14:textId="77777777" w:rsidTr="00654255">
        <w:tc>
          <w:tcPr>
            <w:tcW w:w="1304" w:type="dxa"/>
            <w:tcBorders>
              <w:top w:val="nil"/>
              <w:left w:val="single" w:sz="4" w:space="0" w:color="auto"/>
              <w:bottom w:val="nil"/>
              <w:right w:val="nil"/>
            </w:tcBorders>
            <w:shd w:val="clear" w:color="auto" w:fill="auto"/>
            <w:vAlign w:val="bottom"/>
            <w:hideMark/>
          </w:tcPr>
          <w:p w14:paraId="7A61D6B7" w14:textId="77777777" w:rsidR="004C78C0" w:rsidRPr="008D777B" w:rsidRDefault="004C78C0" w:rsidP="00654255">
            <w:pPr>
              <w:rPr>
                <w:rFonts w:cstheme="minorHAnsi"/>
                <w:color w:val="000000"/>
                <w:sz w:val="16"/>
                <w:szCs w:val="16"/>
              </w:rPr>
            </w:pPr>
            <w:r w:rsidRPr="008D777B">
              <w:rPr>
                <w:color w:val="000000"/>
                <w:sz w:val="16"/>
              </w:rPr>
              <w:t>Vietnam</w:t>
            </w:r>
          </w:p>
        </w:tc>
        <w:tc>
          <w:tcPr>
            <w:tcW w:w="905" w:type="dxa"/>
            <w:tcBorders>
              <w:top w:val="nil"/>
              <w:left w:val="single" w:sz="4" w:space="0" w:color="auto"/>
              <w:bottom w:val="nil"/>
              <w:right w:val="single" w:sz="4" w:space="0" w:color="FFFFFF"/>
            </w:tcBorders>
            <w:shd w:val="clear" w:color="auto" w:fill="auto"/>
            <w:vAlign w:val="bottom"/>
            <w:hideMark/>
          </w:tcPr>
          <w:p w14:paraId="16771A93" w14:textId="77777777" w:rsidR="004C78C0" w:rsidRPr="008D777B" w:rsidRDefault="004C78C0" w:rsidP="00654255">
            <w:pPr>
              <w:jc w:val="right"/>
              <w:rPr>
                <w:rFonts w:cstheme="minorHAnsi"/>
                <w:color w:val="000000"/>
                <w:sz w:val="16"/>
                <w:szCs w:val="16"/>
              </w:rPr>
            </w:pPr>
            <w:r w:rsidRPr="008D777B">
              <w:rPr>
                <w:color w:val="000000"/>
                <w:sz w:val="16"/>
              </w:rPr>
              <w:t>2,6</w:t>
            </w:r>
          </w:p>
        </w:tc>
        <w:tc>
          <w:tcPr>
            <w:tcW w:w="990" w:type="dxa"/>
            <w:tcBorders>
              <w:top w:val="nil"/>
              <w:left w:val="nil"/>
              <w:bottom w:val="nil"/>
              <w:right w:val="single" w:sz="4" w:space="0" w:color="FFFFFF"/>
            </w:tcBorders>
            <w:shd w:val="clear" w:color="auto" w:fill="auto"/>
            <w:vAlign w:val="bottom"/>
            <w:hideMark/>
          </w:tcPr>
          <w:p w14:paraId="7243490C" w14:textId="77777777" w:rsidR="004C78C0" w:rsidRPr="008D777B" w:rsidRDefault="004C78C0" w:rsidP="00654255">
            <w:pPr>
              <w:jc w:val="right"/>
              <w:rPr>
                <w:rFonts w:cstheme="minorHAnsi"/>
                <w:color w:val="000000"/>
                <w:sz w:val="16"/>
                <w:szCs w:val="16"/>
              </w:rPr>
            </w:pPr>
            <w:r w:rsidRPr="008D777B">
              <w:rPr>
                <w:color w:val="000000"/>
                <w:sz w:val="16"/>
              </w:rPr>
              <w:t>24.318,4</w:t>
            </w:r>
          </w:p>
        </w:tc>
        <w:tc>
          <w:tcPr>
            <w:tcW w:w="990" w:type="dxa"/>
            <w:tcBorders>
              <w:top w:val="nil"/>
              <w:left w:val="nil"/>
              <w:bottom w:val="nil"/>
              <w:right w:val="single" w:sz="4" w:space="0" w:color="FFFFFF"/>
            </w:tcBorders>
            <w:shd w:val="clear" w:color="auto" w:fill="auto"/>
            <w:vAlign w:val="bottom"/>
            <w:hideMark/>
          </w:tcPr>
          <w:p w14:paraId="1A5654C9" w14:textId="77777777" w:rsidR="004C78C0" w:rsidRPr="008D777B" w:rsidRDefault="004C78C0" w:rsidP="00654255">
            <w:pPr>
              <w:jc w:val="right"/>
              <w:rPr>
                <w:rFonts w:cstheme="minorHAnsi"/>
                <w:color w:val="000000"/>
                <w:sz w:val="16"/>
                <w:szCs w:val="16"/>
              </w:rPr>
            </w:pPr>
            <w:r w:rsidRPr="008D777B">
              <w:rPr>
                <w:color w:val="000000"/>
                <w:sz w:val="16"/>
              </w:rPr>
              <w:t>38.189,4</w:t>
            </w:r>
          </w:p>
        </w:tc>
        <w:tc>
          <w:tcPr>
            <w:tcW w:w="673" w:type="dxa"/>
            <w:tcBorders>
              <w:top w:val="nil"/>
              <w:left w:val="nil"/>
              <w:bottom w:val="nil"/>
              <w:right w:val="single" w:sz="4" w:space="0" w:color="auto"/>
            </w:tcBorders>
            <w:shd w:val="clear" w:color="auto" w:fill="auto"/>
            <w:noWrap/>
            <w:vAlign w:val="bottom"/>
            <w:hideMark/>
          </w:tcPr>
          <w:p w14:paraId="7CFF6D92" w14:textId="77777777" w:rsidR="004C78C0" w:rsidRPr="008D777B" w:rsidRDefault="004C78C0" w:rsidP="00654255">
            <w:pPr>
              <w:jc w:val="right"/>
              <w:rPr>
                <w:rFonts w:cstheme="minorHAnsi"/>
                <w:color w:val="000000"/>
                <w:sz w:val="16"/>
                <w:szCs w:val="16"/>
              </w:rPr>
            </w:pPr>
            <w:r w:rsidRPr="008D777B">
              <w:rPr>
                <w:color w:val="000000"/>
                <w:sz w:val="16"/>
              </w:rPr>
              <w:t>57,0</w:t>
            </w:r>
          </w:p>
        </w:tc>
        <w:tc>
          <w:tcPr>
            <w:tcW w:w="829" w:type="dxa"/>
            <w:tcBorders>
              <w:top w:val="nil"/>
              <w:left w:val="nil"/>
              <w:bottom w:val="nil"/>
              <w:right w:val="single" w:sz="4" w:space="0" w:color="FFFFFF"/>
            </w:tcBorders>
            <w:shd w:val="clear" w:color="auto" w:fill="auto"/>
            <w:noWrap/>
            <w:vAlign w:val="bottom"/>
            <w:hideMark/>
          </w:tcPr>
          <w:p w14:paraId="6E1B6FF9" w14:textId="77777777" w:rsidR="004C78C0" w:rsidRPr="008D777B" w:rsidRDefault="004C78C0" w:rsidP="00654255">
            <w:pPr>
              <w:jc w:val="right"/>
              <w:rPr>
                <w:rFonts w:cstheme="minorHAnsi"/>
                <w:color w:val="000000"/>
                <w:sz w:val="16"/>
                <w:szCs w:val="16"/>
              </w:rPr>
            </w:pPr>
            <w:r w:rsidRPr="008D777B">
              <w:rPr>
                <w:color w:val="000000"/>
                <w:sz w:val="16"/>
              </w:rPr>
              <w:t>0,0</w:t>
            </w:r>
          </w:p>
        </w:tc>
        <w:tc>
          <w:tcPr>
            <w:tcW w:w="854" w:type="dxa"/>
            <w:tcBorders>
              <w:top w:val="nil"/>
              <w:left w:val="nil"/>
              <w:bottom w:val="nil"/>
              <w:right w:val="single" w:sz="4" w:space="0" w:color="FFFFFF"/>
            </w:tcBorders>
            <w:shd w:val="clear" w:color="auto" w:fill="auto"/>
            <w:noWrap/>
            <w:vAlign w:val="bottom"/>
            <w:hideMark/>
          </w:tcPr>
          <w:p w14:paraId="2DA3A010" w14:textId="77777777" w:rsidR="004C78C0" w:rsidRPr="008D777B" w:rsidRDefault="004C78C0" w:rsidP="00654255">
            <w:pPr>
              <w:jc w:val="right"/>
              <w:rPr>
                <w:rFonts w:cstheme="minorHAnsi"/>
                <w:color w:val="000000"/>
                <w:sz w:val="16"/>
                <w:szCs w:val="16"/>
              </w:rPr>
            </w:pPr>
            <w:r w:rsidRPr="008D777B">
              <w:rPr>
                <w:color w:val="000000"/>
                <w:sz w:val="16"/>
              </w:rPr>
              <w:t>48,2</w:t>
            </w:r>
          </w:p>
        </w:tc>
        <w:tc>
          <w:tcPr>
            <w:tcW w:w="854" w:type="dxa"/>
            <w:tcBorders>
              <w:top w:val="nil"/>
              <w:left w:val="nil"/>
              <w:bottom w:val="nil"/>
              <w:right w:val="single" w:sz="4" w:space="0" w:color="FFFFFF"/>
            </w:tcBorders>
            <w:shd w:val="clear" w:color="auto" w:fill="auto"/>
            <w:noWrap/>
            <w:vAlign w:val="bottom"/>
            <w:hideMark/>
          </w:tcPr>
          <w:p w14:paraId="79406259" w14:textId="77777777" w:rsidR="004C78C0" w:rsidRPr="008D777B" w:rsidRDefault="004C78C0" w:rsidP="00654255">
            <w:pPr>
              <w:jc w:val="right"/>
              <w:rPr>
                <w:rFonts w:cstheme="minorHAnsi"/>
                <w:color w:val="000000"/>
                <w:sz w:val="16"/>
                <w:szCs w:val="16"/>
              </w:rPr>
            </w:pPr>
            <w:r w:rsidRPr="008D777B">
              <w:rPr>
                <w:color w:val="000000"/>
                <w:sz w:val="16"/>
              </w:rPr>
              <w:t>42,4</w:t>
            </w:r>
          </w:p>
        </w:tc>
        <w:tc>
          <w:tcPr>
            <w:tcW w:w="673" w:type="dxa"/>
            <w:tcBorders>
              <w:top w:val="nil"/>
              <w:left w:val="nil"/>
              <w:bottom w:val="nil"/>
              <w:right w:val="single" w:sz="4" w:space="0" w:color="auto"/>
            </w:tcBorders>
            <w:shd w:val="clear" w:color="auto" w:fill="auto"/>
            <w:noWrap/>
            <w:vAlign w:val="bottom"/>
            <w:hideMark/>
          </w:tcPr>
          <w:p w14:paraId="3609D6AF" w14:textId="77777777" w:rsidR="004C78C0" w:rsidRPr="008D777B" w:rsidRDefault="004C78C0" w:rsidP="00654255">
            <w:pPr>
              <w:jc w:val="right"/>
              <w:rPr>
                <w:rFonts w:cstheme="minorHAnsi"/>
                <w:color w:val="000000"/>
                <w:sz w:val="16"/>
                <w:szCs w:val="16"/>
              </w:rPr>
            </w:pPr>
            <w:r w:rsidRPr="008D777B">
              <w:rPr>
                <w:color w:val="000000"/>
                <w:sz w:val="16"/>
              </w:rPr>
              <w:t>-12,1</w:t>
            </w:r>
          </w:p>
        </w:tc>
        <w:tc>
          <w:tcPr>
            <w:tcW w:w="991" w:type="dxa"/>
            <w:tcBorders>
              <w:top w:val="nil"/>
              <w:left w:val="nil"/>
              <w:bottom w:val="nil"/>
              <w:right w:val="single" w:sz="4" w:space="0" w:color="auto"/>
            </w:tcBorders>
            <w:shd w:val="clear" w:color="auto" w:fill="auto"/>
            <w:noWrap/>
            <w:vAlign w:val="bottom"/>
            <w:hideMark/>
          </w:tcPr>
          <w:p w14:paraId="327DD636" w14:textId="77777777" w:rsidR="004C78C0" w:rsidRPr="008D777B" w:rsidRDefault="004C78C0" w:rsidP="00654255">
            <w:pPr>
              <w:jc w:val="right"/>
              <w:rPr>
                <w:rFonts w:cstheme="minorHAnsi"/>
                <w:color w:val="000000"/>
                <w:sz w:val="16"/>
                <w:szCs w:val="16"/>
              </w:rPr>
            </w:pPr>
            <w:r w:rsidRPr="008D777B">
              <w:rPr>
                <w:color w:val="000000"/>
                <w:sz w:val="16"/>
              </w:rPr>
              <w:t>0,1</w:t>
            </w:r>
          </w:p>
        </w:tc>
      </w:tr>
      <w:tr w:rsidR="004C78C0" w:rsidRPr="008D777B" w14:paraId="464D3239" w14:textId="77777777" w:rsidTr="00654255">
        <w:tc>
          <w:tcPr>
            <w:tcW w:w="1304" w:type="dxa"/>
            <w:tcBorders>
              <w:top w:val="nil"/>
              <w:left w:val="single" w:sz="4" w:space="0" w:color="auto"/>
              <w:bottom w:val="single" w:sz="4" w:space="0" w:color="auto"/>
              <w:right w:val="single" w:sz="4" w:space="0" w:color="auto"/>
            </w:tcBorders>
            <w:shd w:val="clear" w:color="auto" w:fill="auto"/>
            <w:vAlign w:val="bottom"/>
            <w:hideMark/>
          </w:tcPr>
          <w:p w14:paraId="3FE9B41A" w14:textId="77777777" w:rsidR="004C78C0" w:rsidRPr="008D777B" w:rsidRDefault="004C78C0" w:rsidP="00654255">
            <w:pPr>
              <w:rPr>
                <w:rFonts w:cstheme="minorHAnsi"/>
                <w:color w:val="000000"/>
                <w:sz w:val="16"/>
                <w:szCs w:val="16"/>
              </w:rPr>
            </w:pPr>
            <w:r w:rsidRPr="008D777B">
              <w:rPr>
                <w:color w:val="000000"/>
                <w:sz w:val="16"/>
              </w:rPr>
              <w:t>Total autres pays</w:t>
            </w:r>
          </w:p>
        </w:tc>
        <w:tc>
          <w:tcPr>
            <w:tcW w:w="905" w:type="dxa"/>
            <w:tcBorders>
              <w:top w:val="nil"/>
              <w:left w:val="nil"/>
              <w:bottom w:val="single" w:sz="4" w:space="0" w:color="auto"/>
              <w:right w:val="single" w:sz="4" w:space="0" w:color="FFFFFF"/>
            </w:tcBorders>
            <w:shd w:val="clear" w:color="auto" w:fill="auto"/>
            <w:vAlign w:val="bottom"/>
            <w:hideMark/>
          </w:tcPr>
          <w:p w14:paraId="03AF2FA7" w14:textId="77777777" w:rsidR="004C78C0" w:rsidRPr="008D777B" w:rsidRDefault="004C78C0" w:rsidP="00654255">
            <w:pPr>
              <w:jc w:val="right"/>
              <w:rPr>
                <w:rFonts w:cstheme="minorHAnsi"/>
                <w:color w:val="000000"/>
                <w:sz w:val="16"/>
                <w:szCs w:val="16"/>
              </w:rPr>
            </w:pPr>
            <w:r w:rsidRPr="008D777B">
              <w:rPr>
                <w:color w:val="000000"/>
                <w:sz w:val="16"/>
              </w:rPr>
              <w:t>0,6</w:t>
            </w:r>
          </w:p>
        </w:tc>
        <w:tc>
          <w:tcPr>
            <w:tcW w:w="990" w:type="dxa"/>
            <w:tcBorders>
              <w:top w:val="nil"/>
              <w:left w:val="nil"/>
              <w:bottom w:val="single" w:sz="4" w:space="0" w:color="auto"/>
              <w:right w:val="single" w:sz="4" w:space="0" w:color="FFFFFF"/>
            </w:tcBorders>
            <w:shd w:val="clear" w:color="auto" w:fill="auto"/>
            <w:vAlign w:val="bottom"/>
            <w:hideMark/>
          </w:tcPr>
          <w:p w14:paraId="72C3C3DA" w14:textId="77777777" w:rsidR="004C78C0" w:rsidRPr="008D777B" w:rsidRDefault="004C78C0" w:rsidP="00654255">
            <w:pPr>
              <w:jc w:val="right"/>
              <w:rPr>
                <w:rFonts w:cstheme="minorHAnsi"/>
                <w:color w:val="000000"/>
                <w:sz w:val="16"/>
                <w:szCs w:val="16"/>
              </w:rPr>
            </w:pPr>
            <w:r w:rsidRPr="008D777B">
              <w:rPr>
                <w:color w:val="000000"/>
                <w:sz w:val="16"/>
              </w:rPr>
              <w:t>4.799,1</w:t>
            </w:r>
          </w:p>
        </w:tc>
        <w:tc>
          <w:tcPr>
            <w:tcW w:w="990" w:type="dxa"/>
            <w:tcBorders>
              <w:top w:val="nil"/>
              <w:left w:val="nil"/>
              <w:bottom w:val="single" w:sz="4" w:space="0" w:color="auto"/>
              <w:right w:val="single" w:sz="4" w:space="0" w:color="FFFFFF"/>
            </w:tcBorders>
            <w:shd w:val="clear" w:color="auto" w:fill="auto"/>
            <w:vAlign w:val="bottom"/>
            <w:hideMark/>
          </w:tcPr>
          <w:p w14:paraId="5B3D6626" w14:textId="77777777" w:rsidR="004C78C0" w:rsidRPr="008D777B" w:rsidRDefault="004C78C0" w:rsidP="00654255">
            <w:pPr>
              <w:jc w:val="right"/>
              <w:rPr>
                <w:rFonts w:cstheme="minorHAnsi"/>
                <w:color w:val="000000"/>
                <w:sz w:val="16"/>
                <w:szCs w:val="16"/>
              </w:rPr>
            </w:pPr>
            <w:r w:rsidRPr="008D777B">
              <w:rPr>
                <w:color w:val="000000"/>
                <w:sz w:val="16"/>
              </w:rPr>
              <w:t>8.745,6</w:t>
            </w:r>
          </w:p>
        </w:tc>
        <w:tc>
          <w:tcPr>
            <w:tcW w:w="673" w:type="dxa"/>
            <w:tcBorders>
              <w:top w:val="nil"/>
              <w:left w:val="nil"/>
              <w:bottom w:val="single" w:sz="4" w:space="0" w:color="auto"/>
              <w:right w:val="single" w:sz="4" w:space="0" w:color="auto"/>
            </w:tcBorders>
            <w:shd w:val="clear" w:color="auto" w:fill="auto"/>
            <w:noWrap/>
            <w:vAlign w:val="bottom"/>
            <w:hideMark/>
          </w:tcPr>
          <w:p w14:paraId="5D84A5A1" w14:textId="77777777" w:rsidR="004C78C0" w:rsidRPr="008D777B" w:rsidRDefault="004C78C0" w:rsidP="00654255">
            <w:pPr>
              <w:jc w:val="right"/>
              <w:rPr>
                <w:rFonts w:cstheme="minorHAnsi"/>
                <w:color w:val="000000"/>
                <w:sz w:val="16"/>
                <w:szCs w:val="16"/>
              </w:rPr>
            </w:pPr>
            <w:r w:rsidRPr="008D777B">
              <w:rPr>
                <w:color w:val="000000"/>
                <w:sz w:val="16"/>
              </w:rPr>
              <w:t>82,2</w:t>
            </w:r>
          </w:p>
        </w:tc>
        <w:tc>
          <w:tcPr>
            <w:tcW w:w="829" w:type="dxa"/>
            <w:tcBorders>
              <w:top w:val="nil"/>
              <w:left w:val="single" w:sz="4" w:space="0" w:color="FFFFFF"/>
              <w:bottom w:val="single" w:sz="4" w:space="0" w:color="auto"/>
              <w:right w:val="single" w:sz="4" w:space="0" w:color="FFFFFF"/>
            </w:tcBorders>
            <w:shd w:val="clear" w:color="auto" w:fill="auto"/>
            <w:vAlign w:val="bottom"/>
            <w:hideMark/>
          </w:tcPr>
          <w:p w14:paraId="44D30BEC" w14:textId="77777777" w:rsidR="004C78C0" w:rsidRPr="008D777B" w:rsidRDefault="004C78C0" w:rsidP="00654255">
            <w:pPr>
              <w:jc w:val="right"/>
              <w:rPr>
                <w:rFonts w:cstheme="minorHAnsi"/>
                <w:color w:val="000000"/>
                <w:sz w:val="16"/>
                <w:szCs w:val="16"/>
              </w:rPr>
            </w:pPr>
            <w:r w:rsidRPr="008D777B">
              <w:rPr>
                <w:color w:val="000000"/>
                <w:sz w:val="16"/>
              </w:rPr>
              <w:t>0,1</w:t>
            </w:r>
          </w:p>
        </w:tc>
        <w:tc>
          <w:tcPr>
            <w:tcW w:w="854" w:type="dxa"/>
            <w:tcBorders>
              <w:top w:val="nil"/>
              <w:left w:val="nil"/>
              <w:bottom w:val="single" w:sz="4" w:space="0" w:color="auto"/>
              <w:right w:val="single" w:sz="4" w:space="0" w:color="FFFFFF"/>
            </w:tcBorders>
            <w:shd w:val="clear" w:color="auto" w:fill="auto"/>
            <w:vAlign w:val="bottom"/>
            <w:hideMark/>
          </w:tcPr>
          <w:p w14:paraId="6F7D2EEE" w14:textId="77777777" w:rsidR="004C78C0" w:rsidRPr="008D777B" w:rsidRDefault="004C78C0" w:rsidP="00654255">
            <w:pPr>
              <w:jc w:val="right"/>
              <w:rPr>
                <w:rFonts w:cstheme="minorHAnsi"/>
                <w:color w:val="000000"/>
                <w:sz w:val="16"/>
                <w:szCs w:val="16"/>
              </w:rPr>
            </w:pPr>
            <w:r w:rsidRPr="008D777B">
              <w:rPr>
                <w:color w:val="000000"/>
                <w:sz w:val="16"/>
              </w:rPr>
              <w:t>1.212,0</w:t>
            </w:r>
          </w:p>
        </w:tc>
        <w:tc>
          <w:tcPr>
            <w:tcW w:w="854" w:type="dxa"/>
            <w:tcBorders>
              <w:top w:val="nil"/>
              <w:left w:val="nil"/>
              <w:bottom w:val="single" w:sz="4" w:space="0" w:color="auto"/>
              <w:right w:val="single" w:sz="4" w:space="0" w:color="FFFFFF"/>
            </w:tcBorders>
            <w:shd w:val="clear" w:color="auto" w:fill="auto"/>
            <w:vAlign w:val="bottom"/>
            <w:hideMark/>
          </w:tcPr>
          <w:p w14:paraId="307E4444" w14:textId="77777777" w:rsidR="004C78C0" w:rsidRPr="008D777B" w:rsidRDefault="004C78C0" w:rsidP="00654255">
            <w:pPr>
              <w:jc w:val="right"/>
              <w:rPr>
                <w:rFonts w:cstheme="minorHAnsi"/>
                <w:color w:val="000000"/>
                <w:sz w:val="16"/>
                <w:szCs w:val="16"/>
              </w:rPr>
            </w:pPr>
            <w:r w:rsidRPr="008D777B">
              <w:rPr>
                <w:color w:val="000000"/>
                <w:sz w:val="16"/>
              </w:rPr>
              <w:t>653,9</w:t>
            </w:r>
          </w:p>
        </w:tc>
        <w:tc>
          <w:tcPr>
            <w:tcW w:w="673" w:type="dxa"/>
            <w:tcBorders>
              <w:top w:val="nil"/>
              <w:left w:val="nil"/>
              <w:bottom w:val="single" w:sz="4" w:space="0" w:color="auto"/>
              <w:right w:val="nil"/>
            </w:tcBorders>
            <w:shd w:val="clear" w:color="auto" w:fill="auto"/>
            <w:noWrap/>
            <w:vAlign w:val="bottom"/>
            <w:hideMark/>
          </w:tcPr>
          <w:p w14:paraId="770DBC71" w14:textId="77777777" w:rsidR="004C78C0" w:rsidRPr="008D777B" w:rsidRDefault="004C78C0" w:rsidP="00654255">
            <w:pPr>
              <w:jc w:val="right"/>
              <w:rPr>
                <w:rFonts w:cstheme="minorHAnsi"/>
                <w:color w:val="000000"/>
                <w:sz w:val="16"/>
                <w:szCs w:val="16"/>
              </w:rPr>
            </w:pPr>
            <w:r w:rsidRPr="008D777B">
              <w:rPr>
                <w:color w:val="000000"/>
                <w:sz w:val="16"/>
              </w:rPr>
              <w:t>-46,1</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14:paraId="65032FCA" w14:textId="77777777" w:rsidR="004C78C0" w:rsidRPr="008D777B" w:rsidRDefault="004C78C0" w:rsidP="00654255">
            <w:pPr>
              <w:jc w:val="right"/>
              <w:rPr>
                <w:rFonts w:cstheme="minorHAnsi"/>
                <w:color w:val="000000"/>
                <w:sz w:val="16"/>
                <w:szCs w:val="16"/>
              </w:rPr>
            </w:pPr>
            <w:r w:rsidRPr="008D777B">
              <w:rPr>
                <w:color w:val="000000"/>
                <w:sz w:val="16"/>
              </w:rPr>
              <w:t>7,5</w:t>
            </w:r>
          </w:p>
        </w:tc>
      </w:tr>
      <w:tr w:rsidR="004C78C0" w:rsidRPr="008D777B" w14:paraId="31DBC097" w14:textId="77777777" w:rsidTr="00654255">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A8C8662" w14:textId="77777777" w:rsidR="004C78C0" w:rsidRPr="008D777B" w:rsidRDefault="004C78C0" w:rsidP="00654255">
            <w:pPr>
              <w:rPr>
                <w:rFonts w:cstheme="minorHAnsi"/>
                <w:b/>
                <w:bCs/>
                <w:color w:val="000000"/>
                <w:sz w:val="16"/>
                <w:szCs w:val="16"/>
              </w:rPr>
            </w:pPr>
            <w:r w:rsidRPr="008D777B">
              <w:rPr>
                <w:b/>
                <w:color w:val="000000"/>
                <w:sz w:val="16"/>
              </w:rPr>
              <w:t>Total</w:t>
            </w:r>
          </w:p>
        </w:tc>
        <w:tc>
          <w:tcPr>
            <w:tcW w:w="905" w:type="dxa"/>
            <w:tcBorders>
              <w:top w:val="nil"/>
              <w:left w:val="nil"/>
              <w:bottom w:val="single" w:sz="4" w:space="0" w:color="auto"/>
              <w:right w:val="nil"/>
            </w:tcBorders>
            <w:shd w:val="clear" w:color="auto" w:fill="auto"/>
            <w:noWrap/>
            <w:vAlign w:val="bottom"/>
            <w:hideMark/>
          </w:tcPr>
          <w:p w14:paraId="1C0C10A1" w14:textId="77777777" w:rsidR="004C78C0" w:rsidRPr="008D777B" w:rsidRDefault="004C78C0" w:rsidP="00654255">
            <w:pPr>
              <w:jc w:val="right"/>
              <w:rPr>
                <w:rFonts w:cstheme="minorHAnsi"/>
                <w:b/>
                <w:bCs/>
                <w:color w:val="000000"/>
                <w:sz w:val="16"/>
                <w:szCs w:val="16"/>
              </w:rPr>
            </w:pPr>
            <w:r w:rsidRPr="008D777B">
              <w:rPr>
                <w:b/>
                <w:color w:val="000000"/>
                <w:sz w:val="16"/>
              </w:rPr>
              <w:t>100,0</w:t>
            </w:r>
          </w:p>
        </w:tc>
        <w:tc>
          <w:tcPr>
            <w:tcW w:w="990" w:type="dxa"/>
            <w:tcBorders>
              <w:top w:val="nil"/>
              <w:left w:val="nil"/>
              <w:bottom w:val="single" w:sz="4" w:space="0" w:color="auto"/>
              <w:right w:val="nil"/>
            </w:tcBorders>
            <w:shd w:val="clear" w:color="auto" w:fill="auto"/>
            <w:noWrap/>
            <w:vAlign w:val="bottom"/>
            <w:hideMark/>
          </w:tcPr>
          <w:p w14:paraId="15E6BEB7" w14:textId="77777777" w:rsidR="004C78C0" w:rsidRPr="008D777B" w:rsidRDefault="004C78C0" w:rsidP="00654255">
            <w:pPr>
              <w:jc w:val="right"/>
              <w:rPr>
                <w:rFonts w:cstheme="minorHAnsi"/>
                <w:b/>
                <w:bCs/>
                <w:color w:val="000000"/>
                <w:sz w:val="16"/>
                <w:szCs w:val="16"/>
              </w:rPr>
            </w:pPr>
            <w:r w:rsidRPr="008D777B">
              <w:rPr>
                <w:b/>
                <w:color w:val="000000"/>
                <w:sz w:val="16"/>
              </w:rPr>
              <w:t>1.550.238,1</w:t>
            </w:r>
          </w:p>
        </w:tc>
        <w:tc>
          <w:tcPr>
            <w:tcW w:w="990" w:type="dxa"/>
            <w:tcBorders>
              <w:top w:val="nil"/>
              <w:left w:val="nil"/>
              <w:bottom w:val="single" w:sz="4" w:space="0" w:color="auto"/>
              <w:right w:val="nil"/>
            </w:tcBorders>
            <w:shd w:val="clear" w:color="auto" w:fill="auto"/>
            <w:noWrap/>
            <w:vAlign w:val="bottom"/>
            <w:hideMark/>
          </w:tcPr>
          <w:p w14:paraId="502F3E3B" w14:textId="77777777" w:rsidR="004C78C0" w:rsidRPr="008D777B" w:rsidRDefault="004C78C0" w:rsidP="00654255">
            <w:pPr>
              <w:jc w:val="right"/>
              <w:rPr>
                <w:rFonts w:cstheme="minorHAnsi"/>
                <w:b/>
                <w:bCs/>
                <w:color w:val="000000"/>
                <w:sz w:val="16"/>
                <w:szCs w:val="16"/>
              </w:rPr>
            </w:pPr>
            <w:r w:rsidRPr="008D777B">
              <w:rPr>
                <w:b/>
                <w:color w:val="000000"/>
                <w:sz w:val="16"/>
              </w:rPr>
              <w:t>1.469.369,4</w:t>
            </w:r>
          </w:p>
        </w:tc>
        <w:tc>
          <w:tcPr>
            <w:tcW w:w="673" w:type="dxa"/>
            <w:tcBorders>
              <w:top w:val="nil"/>
              <w:left w:val="nil"/>
              <w:bottom w:val="single" w:sz="4" w:space="0" w:color="auto"/>
              <w:right w:val="single" w:sz="4" w:space="0" w:color="auto"/>
            </w:tcBorders>
            <w:shd w:val="clear" w:color="auto" w:fill="auto"/>
            <w:noWrap/>
            <w:vAlign w:val="bottom"/>
            <w:hideMark/>
          </w:tcPr>
          <w:p w14:paraId="3F734FC6" w14:textId="77777777" w:rsidR="004C78C0" w:rsidRPr="008D777B" w:rsidRDefault="004C78C0" w:rsidP="00654255">
            <w:pPr>
              <w:jc w:val="right"/>
              <w:rPr>
                <w:rFonts w:cstheme="minorHAnsi"/>
                <w:b/>
                <w:bCs/>
                <w:color w:val="000000"/>
                <w:sz w:val="16"/>
                <w:szCs w:val="16"/>
              </w:rPr>
            </w:pPr>
            <w:r w:rsidRPr="008D777B">
              <w:rPr>
                <w:b/>
                <w:color w:val="000000"/>
                <w:sz w:val="16"/>
              </w:rPr>
              <w:t>-5,2</w:t>
            </w:r>
          </w:p>
        </w:tc>
        <w:tc>
          <w:tcPr>
            <w:tcW w:w="829" w:type="dxa"/>
            <w:tcBorders>
              <w:top w:val="nil"/>
              <w:left w:val="nil"/>
              <w:bottom w:val="single" w:sz="4" w:space="0" w:color="auto"/>
              <w:right w:val="nil"/>
            </w:tcBorders>
            <w:shd w:val="clear" w:color="auto" w:fill="auto"/>
            <w:noWrap/>
            <w:vAlign w:val="bottom"/>
            <w:hideMark/>
          </w:tcPr>
          <w:p w14:paraId="45C83FD0" w14:textId="77777777" w:rsidR="004C78C0" w:rsidRPr="008D777B" w:rsidRDefault="004C78C0" w:rsidP="00654255">
            <w:pPr>
              <w:jc w:val="right"/>
              <w:rPr>
                <w:rFonts w:cstheme="minorHAnsi"/>
                <w:b/>
                <w:bCs/>
                <w:color w:val="000000"/>
                <w:sz w:val="16"/>
                <w:szCs w:val="16"/>
              </w:rPr>
            </w:pPr>
            <w:r w:rsidRPr="008D777B">
              <w:rPr>
                <w:b/>
                <w:color w:val="000000"/>
                <w:sz w:val="16"/>
              </w:rPr>
              <w:t>100,0</w:t>
            </w:r>
          </w:p>
        </w:tc>
        <w:tc>
          <w:tcPr>
            <w:tcW w:w="854" w:type="dxa"/>
            <w:tcBorders>
              <w:top w:val="nil"/>
              <w:left w:val="nil"/>
              <w:bottom w:val="single" w:sz="4" w:space="0" w:color="auto"/>
              <w:right w:val="nil"/>
            </w:tcBorders>
            <w:shd w:val="clear" w:color="auto" w:fill="auto"/>
            <w:noWrap/>
            <w:vAlign w:val="bottom"/>
            <w:hideMark/>
          </w:tcPr>
          <w:p w14:paraId="2E44E315" w14:textId="77777777" w:rsidR="004C78C0" w:rsidRPr="008D777B" w:rsidRDefault="004C78C0" w:rsidP="00654255">
            <w:pPr>
              <w:jc w:val="right"/>
              <w:rPr>
                <w:rFonts w:cstheme="minorHAnsi"/>
                <w:b/>
                <w:bCs/>
                <w:color w:val="000000"/>
                <w:sz w:val="16"/>
                <w:szCs w:val="16"/>
              </w:rPr>
            </w:pPr>
            <w:r w:rsidRPr="008D777B">
              <w:rPr>
                <w:b/>
                <w:color w:val="000000"/>
                <w:sz w:val="16"/>
              </w:rPr>
              <w:t>860.767,6</w:t>
            </w:r>
          </w:p>
        </w:tc>
        <w:tc>
          <w:tcPr>
            <w:tcW w:w="854" w:type="dxa"/>
            <w:tcBorders>
              <w:top w:val="nil"/>
              <w:left w:val="nil"/>
              <w:bottom w:val="single" w:sz="4" w:space="0" w:color="auto"/>
              <w:right w:val="nil"/>
            </w:tcBorders>
            <w:shd w:val="clear" w:color="auto" w:fill="auto"/>
            <w:noWrap/>
            <w:vAlign w:val="bottom"/>
            <w:hideMark/>
          </w:tcPr>
          <w:p w14:paraId="23C87246" w14:textId="77777777" w:rsidR="004C78C0" w:rsidRPr="008D777B" w:rsidRDefault="004C78C0" w:rsidP="00654255">
            <w:pPr>
              <w:jc w:val="right"/>
              <w:rPr>
                <w:rFonts w:cstheme="minorHAnsi"/>
                <w:b/>
                <w:bCs/>
                <w:color w:val="000000"/>
                <w:sz w:val="16"/>
                <w:szCs w:val="16"/>
              </w:rPr>
            </w:pPr>
            <w:r w:rsidRPr="008D777B">
              <w:rPr>
                <w:b/>
                <w:color w:val="000000"/>
                <w:sz w:val="16"/>
              </w:rPr>
              <w:t>869.142,5</w:t>
            </w:r>
          </w:p>
        </w:tc>
        <w:tc>
          <w:tcPr>
            <w:tcW w:w="673" w:type="dxa"/>
            <w:tcBorders>
              <w:top w:val="nil"/>
              <w:left w:val="nil"/>
              <w:bottom w:val="single" w:sz="4" w:space="0" w:color="auto"/>
              <w:right w:val="single" w:sz="4" w:space="0" w:color="auto"/>
            </w:tcBorders>
            <w:shd w:val="clear" w:color="auto" w:fill="auto"/>
            <w:noWrap/>
            <w:vAlign w:val="bottom"/>
            <w:hideMark/>
          </w:tcPr>
          <w:p w14:paraId="5BD4B282" w14:textId="77777777" w:rsidR="004C78C0" w:rsidRPr="008D777B" w:rsidRDefault="004C78C0" w:rsidP="00654255">
            <w:pPr>
              <w:jc w:val="right"/>
              <w:rPr>
                <w:rFonts w:cstheme="minorHAnsi"/>
                <w:b/>
                <w:bCs/>
                <w:color w:val="000000"/>
                <w:sz w:val="16"/>
                <w:szCs w:val="16"/>
              </w:rPr>
            </w:pPr>
            <w:r w:rsidRPr="008D777B">
              <w:rPr>
                <w:b/>
                <w:color w:val="000000"/>
                <w:sz w:val="16"/>
              </w:rPr>
              <w:t>1,0</w:t>
            </w:r>
          </w:p>
        </w:tc>
        <w:tc>
          <w:tcPr>
            <w:tcW w:w="991" w:type="dxa"/>
            <w:tcBorders>
              <w:top w:val="nil"/>
              <w:left w:val="nil"/>
              <w:bottom w:val="single" w:sz="4" w:space="0" w:color="auto"/>
              <w:right w:val="single" w:sz="4" w:space="0" w:color="auto"/>
            </w:tcBorders>
            <w:shd w:val="clear" w:color="auto" w:fill="auto"/>
            <w:noWrap/>
            <w:vAlign w:val="bottom"/>
            <w:hideMark/>
          </w:tcPr>
          <w:p w14:paraId="09D0FF38" w14:textId="77777777" w:rsidR="004C78C0" w:rsidRPr="008D777B" w:rsidRDefault="004C78C0" w:rsidP="00654255">
            <w:pPr>
              <w:jc w:val="right"/>
              <w:rPr>
                <w:rFonts w:cstheme="minorHAnsi"/>
                <w:b/>
                <w:bCs/>
                <w:color w:val="000000"/>
                <w:sz w:val="16"/>
                <w:szCs w:val="16"/>
              </w:rPr>
            </w:pPr>
            <w:r w:rsidRPr="008D777B">
              <w:rPr>
                <w:b/>
                <w:color w:val="000000"/>
                <w:sz w:val="16"/>
              </w:rPr>
              <w:t>59,2</w:t>
            </w:r>
          </w:p>
        </w:tc>
      </w:tr>
      <w:tr w:rsidR="004C78C0" w:rsidRPr="008D777B" w14:paraId="58A3FE12" w14:textId="77777777" w:rsidTr="00654255">
        <w:tc>
          <w:tcPr>
            <w:tcW w:w="1304" w:type="dxa"/>
            <w:tcBorders>
              <w:top w:val="nil"/>
              <w:left w:val="nil"/>
              <w:bottom w:val="nil"/>
              <w:right w:val="nil"/>
            </w:tcBorders>
            <w:shd w:val="clear" w:color="auto" w:fill="auto"/>
            <w:noWrap/>
            <w:vAlign w:val="bottom"/>
            <w:hideMark/>
          </w:tcPr>
          <w:p w14:paraId="56783200" w14:textId="77777777" w:rsidR="004C78C0" w:rsidRPr="008D777B" w:rsidRDefault="004C78C0" w:rsidP="00654255">
            <w:pPr>
              <w:rPr>
                <w:rFonts w:cstheme="minorHAnsi"/>
                <w:color w:val="000000"/>
                <w:sz w:val="16"/>
                <w:szCs w:val="16"/>
              </w:rPr>
            </w:pPr>
            <w:r w:rsidRPr="008D777B">
              <w:rPr>
                <w:color w:val="000000"/>
                <w:sz w:val="16"/>
              </w:rPr>
              <w:t>Source : ICN</w:t>
            </w:r>
          </w:p>
        </w:tc>
        <w:tc>
          <w:tcPr>
            <w:tcW w:w="905" w:type="dxa"/>
            <w:tcBorders>
              <w:top w:val="nil"/>
              <w:left w:val="nil"/>
              <w:bottom w:val="nil"/>
              <w:right w:val="nil"/>
            </w:tcBorders>
            <w:shd w:val="clear" w:color="auto" w:fill="auto"/>
            <w:noWrap/>
            <w:vAlign w:val="bottom"/>
            <w:hideMark/>
          </w:tcPr>
          <w:p w14:paraId="5C231F56" w14:textId="77777777" w:rsidR="004C78C0" w:rsidRPr="008D777B" w:rsidRDefault="004C78C0" w:rsidP="00654255">
            <w:pPr>
              <w:rPr>
                <w:rFonts w:cstheme="minorHAnsi"/>
                <w:color w:val="000000"/>
                <w:sz w:val="16"/>
                <w:szCs w:val="16"/>
              </w:rPr>
            </w:pPr>
          </w:p>
        </w:tc>
        <w:tc>
          <w:tcPr>
            <w:tcW w:w="990" w:type="dxa"/>
            <w:tcBorders>
              <w:top w:val="nil"/>
              <w:left w:val="nil"/>
              <w:bottom w:val="nil"/>
              <w:right w:val="nil"/>
            </w:tcBorders>
            <w:shd w:val="clear" w:color="auto" w:fill="auto"/>
            <w:noWrap/>
            <w:vAlign w:val="bottom"/>
            <w:hideMark/>
          </w:tcPr>
          <w:p w14:paraId="4A761150" w14:textId="77777777" w:rsidR="004C78C0" w:rsidRPr="008D777B" w:rsidRDefault="004C78C0" w:rsidP="00654255">
            <w:pPr>
              <w:rPr>
                <w:rFonts w:cstheme="minorHAnsi"/>
                <w:sz w:val="16"/>
                <w:szCs w:val="16"/>
              </w:rPr>
            </w:pPr>
          </w:p>
        </w:tc>
        <w:tc>
          <w:tcPr>
            <w:tcW w:w="990" w:type="dxa"/>
            <w:tcBorders>
              <w:top w:val="nil"/>
              <w:left w:val="nil"/>
              <w:bottom w:val="nil"/>
              <w:right w:val="nil"/>
            </w:tcBorders>
            <w:shd w:val="clear" w:color="auto" w:fill="auto"/>
            <w:noWrap/>
            <w:vAlign w:val="bottom"/>
            <w:hideMark/>
          </w:tcPr>
          <w:p w14:paraId="2E83198F" w14:textId="77777777" w:rsidR="004C78C0" w:rsidRPr="008D777B" w:rsidRDefault="004C78C0" w:rsidP="00654255">
            <w:pPr>
              <w:rPr>
                <w:rFonts w:cstheme="minorHAnsi"/>
                <w:sz w:val="16"/>
                <w:szCs w:val="16"/>
              </w:rPr>
            </w:pPr>
          </w:p>
        </w:tc>
        <w:tc>
          <w:tcPr>
            <w:tcW w:w="673" w:type="dxa"/>
            <w:tcBorders>
              <w:top w:val="nil"/>
              <w:left w:val="nil"/>
              <w:bottom w:val="nil"/>
              <w:right w:val="nil"/>
            </w:tcBorders>
            <w:shd w:val="clear" w:color="auto" w:fill="auto"/>
            <w:noWrap/>
            <w:vAlign w:val="bottom"/>
            <w:hideMark/>
          </w:tcPr>
          <w:p w14:paraId="76784136" w14:textId="77777777" w:rsidR="004C78C0" w:rsidRPr="008D777B" w:rsidRDefault="004C78C0" w:rsidP="00654255">
            <w:pPr>
              <w:rPr>
                <w:rFonts w:cstheme="minorHAnsi"/>
                <w:sz w:val="16"/>
                <w:szCs w:val="16"/>
              </w:rPr>
            </w:pPr>
          </w:p>
        </w:tc>
        <w:tc>
          <w:tcPr>
            <w:tcW w:w="829" w:type="dxa"/>
            <w:tcBorders>
              <w:top w:val="nil"/>
              <w:left w:val="nil"/>
              <w:bottom w:val="nil"/>
              <w:right w:val="nil"/>
            </w:tcBorders>
            <w:shd w:val="clear" w:color="auto" w:fill="auto"/>
            <w:noWrap/>
            <w:vAlign w:val="bottom"/>
            <w:hideMark/>
          </w:tcPr>
          <w:p w14:paraId="7E6AB2A5" w14:textId="77777777" w:rsidR="004C78C0" w:rsidRPr="008D777B" w:rsidRDefault="004C78C0" w:rsidP="00654255">
            <w:pPr>
              <w:rPr>
                <w:rFonts w:cstheme="minorHAnsi"/>
                <w:sz w:val="16"/>
                <w:szCs w:val="16"/>
              </w:rPr>
            </w:pPr>
          </w:p>
        </w:tc>
        <w:tc>
          <w:tcPr>
            <w:tcW w:w="854" w:type="dxa"/>
            <w:tcBorders>
              <w:top w:val="nil"/>
              <w:left w:val="nil"/>
              <w:bottom w:val="nil"/>
              <w:right w:val="nil"/>
            </w:tcBorders>
            <w:shd w:val="clear" w:color="auto" w:fill="auto"/>
            <w:noWrap/>
            <w:vAlign w:val="bottom"/>
            <w:hideMark/>
          </w:tcPr>
          <w:p w14:paraId="5E5451DC" w14:textId="77777777" w:rsidR="004C78C0" w:rsidRPr="008D777B" w:rsidRDefault="004C78C0" w:rsidP="00654255">
            <w:pPr>
              <w:rPr>
                <w:rFonts w:cstheme="minorHAnsi"/>
                <w:sz w:val="16"/>
                <w:szCs w:val="16"/>
              </w:rPr>
            </w:pPr>
          </w:p>
        </w:tc>
        <w:tc>
          <w:tcPr>
            <w:tcW w:w="854" w:type="dxa"/>
            <w:tcBorders>
              <w:top w:val="nil"/>
              <w:left w:val="nil"/>
              <w:bottom w:val="nil"/>
              <w:right w:val="nil"/>
            </w:tcBorders>
            <w:shd w:val="clear" w:color="auto" w:fill="auto"/>
            <w:noWrap/>
            <w:vAlign w:val="bottom"/>
            <w:hideMark/>
          </w:tcPr>
          <w:p w14:paraId="63D550BE" w14:textId="77777777" w:rsidR="004C78C0" w:rsidRPr="008D777B" w:rsidRDefault="004C78C0" w:rsidP="00654255">
            <w:pPr>
              <w:rPr>
                <w:rFonts w:cstheme="minorHAnsi"/>
                <w:sz w:val="16"/>
                <w:szCs w:val="16"/>
              </w:rPr>
            </w:pPr>
          </w:p>
        </w:tc>
        <w:tc>
          <w:tcPr>
            <w:tcW w:w="673" w:type="dxa"/>
            <w:tcBorders>
              <w:top w:val="nil"/>
              <w:left w:val="nil"/>
              <w:bottom w:val="nil"/>
              <w:right w:val="nil"/>
            </w:tcBorders>
            <w:shd w:val="clear" w:color="auto" w:fill="auto"/>
            <w:noWrap/>
            <w:vAlign w:val="bottom"/>
            <w:hideMark/>
          </w:tcPr>
          <w:p w14:paraId="0987717A" w14:textId="77777777" w:rsidR="004C78C0" w:rsidRPr="008D777B" w:rsidRDefault="004C78C0" w:rsidP="00654255">
            <w:pPr>
              <w:rPr>
                <w:rFonts w:cstheme="minorHAnsi"/>
                <w:sz w:val="16"/>
                <w:szCs w:val="16"/>
              </w:rPr>
            </w:pPr>
          </w:p>
        </w:tc>
        <w:tc>
          <w:tcPr>
            <w:tcW w:w="991" w:type="dxa"/>
            <w:tcBorders>
              <w:top w:val="nil"/>
              <w:left w:val="nil"/>
              <w:bottom w:val="nil"/>
              <w:right w:val="nil"/>
            </w:tcBorders>
            <w:shd w:val="clear" w:color="auto" w:fill="auto"/>
            <w:noWrap/>
            <w:vAlign w:val="bottom"/>
            <w:hideMark/>
          </w:tcPr>
          <w:p w14:paraId="2C1910BD" w14:textId="77777777" w:rsidR="004C78C0" w:rsidRPr="008D777B" w:rsidRDefault="004C78C0" w:rsidP="00654255">
            <w:pPr>
              <w:rPr>
                <w:rFonts w:cstheme="minorHAnsi"/>
                <w:sz w:val="16"/>
                <w:szCs w:val="16"/>
              </w:rPr>
            </w:pPr>
          </w:p>
        </w:tc>
      </w:tr>
    </w:tbl>
    <w:p w14:paraId="2656E975" w14:textId="77777777" w:rsidR="004C78C0" w:rsidRPr="008D777B" w:rsidRDefault="004C78C0" w:rsidP="004C78C0">
      <w:pPr>
        <w:rPr>
          <w:rFonts w:cstheme="minorHAnsi"/>
        </w:rPr>
      </w:pPr>
      <w:r w:rsidRPr="008D777B">
        <w:br w:type="page"/>
      </w:r>
    </w:p>
    <w:p w14:paraId="1167BE5D" w14:textId="77777777" w:rsidR="004C78C0" w:rsidRPr="008D777B" w:rsidRDefault="004C78C0" w:rsidP="004C78C0">
      <w:pPr>
        <w:spacing w:line="257" w:lineRule="auto"/>
        <w:jc w:val="both"/>
        <w:rPr>
          <w:rFonts w:ascii="Calibri" w:eastAsia="Calibri" w:hAnsi="Calibri" w:cs="Calibri"/>
          <w:b/>
          <w:bCs/>
          <w:u w:val="single"/>
        </w:rPr>
      </w:pPr>
      <w:r w:rsidRPr="008D777B">
        <w:rPr>
          <w:rFonts w:ascii="Calibri" w:hAnsi="Calibri"/>
          <w:b/>
          <w:u w:val="single"/>
        </w:rPr>
        <w:lastRenderedPageBreak/>
        <w:t>Perspectives : affaiblissement prévu de l'activité économique en 2022 et 2023</w:t>
      </w:r>
    </w:p>
    <w:p w14:paraId="53FE9E05" w14:textId="77777777" w:rsidR="004C78C0" w:rsidRPr="008D777B" w:rsidRDefault="004C78C0" w:rsidP="004C78C0">
      <w:pPr>
        <w:spacing w:line="257" w:lineRule="auto"/>
        <w:jc w:val="both"/>
        <w:rPr>
          <w:rFonts w:ascii="Calibri" w:eastAsia="Calibri" w:hAnsi="Calibri" w:cs="Calibri"/>
        </w:rPr>
      </w:pPr>
    </w:p>
    <w:p w14:paraId="6A011469" w14:textId="77777777" w:rsidR="004C78C0" w:rsidRPr="008D777B" w:rsidRDefault="004C78C0" w:rsidP="004C78C0">
      <w:pPr>
        <w:spacing w:line="257" w:lineRule="auto"/>
        <w:jc w:val="both"/>
      </w:pPr>
      <w:r w:rsidRPr="008D777B">
        <w:rPr>
          <w:rFonts w:ascii="Calibri" w:hAnsi="Calibri"/>
        </w:rPr>
        <w:t xml:space="preserve">La poursuite de la reprise économique après la crise du coronavirus a été complètement anéantie au printemps 2022. L'invasion russe de l'Ukraine a provoqué une explosion sans précédent des prix de l'énergie dans l'UE, avec de nouvelles perturbations dans les lignes d'approvisionnement en matières premières et matériaux. Les prix élevés des matières premières et de l'énergie, ainsi que la hausse rapide des coûts salariaux due à l'accélération de l'inflation, pèsent sur l'activité économique. Le ralentissement économique prévu dans l'UE, ainsi que la conjoncture en baisse dans le secteur de la construction, ont un fort impact négatif sur l'industrie de l'ameublement. De plus, les consommateurs occidentaux réduisent leurs dépenses parce qu'un trop grand pouvoir d'achat est affecté à la facture d'énergie onéreuse. </w:t>
      </w:r>
    </w:p>
    <w:p w14:paraId="4678DDE1" w14:textId="77777777" w:rsidR="004C78C0" w:rsidRPr="008D777B" w:rsidRDefault="004C78C0" w:rsidP="004C78C0">
      <w:pPr>
        <w:spacing w:line="257" w:lineRule="auto"/>
        <w:jc w:val="both"/>
        <w:rPr>
          <w:rFonts w:ascii="Calibri" w:eastAsia="Calibri" w:hAnsi="Calibri" w:cs="Calibri"/>
        </w:rPr>
      </w:pPr>
    </w:p>
    <w:p w14:paraId="25E4E37F" w14:textId="77777777" w:rsidR="004C78C0" w:rsidRPr="008D777B" w:rsidRDefault="004C78C0" w:rsidP="004C78C0">
      <w:pPr>
        <w:spacing w:line="257" w:lineRule="auto"/>
        <w:jc w:val="both"/>
      </w:pPr>
      <w:r w:rsidRPr="008D777B">
        <w:rPr>
          <w:rFonts w:ascii="Calibri" w:hAnsi="Calibri"/>
        </w:rPr>
        <w:t xml:space="preserve">Selon les prévisions du Bureau fédéral du Plan (communiqué de presse du 8 septembre 2022), l'économie belge devrait croître de 2,6 % en 2022 et seulement de 0,5 % en 2023. En raison de l'inflation galopante, la croissance économique va s'arrêter au quatrième trimestre de 2022 et au premier trimestre de 2023. Dans l'UE, la principale zone d'exportation pour l'industrie de l'ameublement, la croissance économique en 2022 devrait s'élever à 2,7 %. Selon les prévisions, l'économie de l'UE devrait </w:t>
      </w:r>
      <w:r>
        <w:rPr>
          <w:rFonts w:ascii="Calibri" w:hAnsi="Calibri"/>
        </w:rPr>
        <w:t>connaître</w:t>
      </w:r>
      <w:r w:rsidRPr="008D777B">
        <w:rPr>
          <w:rFonts w:ascii="Calibri" w:hAnsi="Calibri"/>
        </w:rPr>
        <w:t xml:space="preserve"> une croissance de 1,5 % en 2023 (Perspectives économiques UE été 2022). </w:t>
      </w:r>
    </w:p>
    <w:p w14:paraId="58F8420C" w14:textId="77777777" w:rsidR="004C78C0" w:rsidRPr="008D777B" w:rsidRDefault="004C78C0" w:rsidP="004C78C0">
      <w:pPr>
        <w:spacing w:line="257" w:lineRule="auto"/>
        <w:jc w:val="both"/>
        <w:rPr>
          <w:rFonts w:ascii="Calibri" w:eastAsia="Calibri" w:hAnsi="Calibri" w:cs="Calibri"/>
        </w:rPr>
      </w:pPr>
    </w:p>
    <w:p w14:paraId="470AA811" w14:textId="77777777" w:rsidR="004C78C0" w:rsidRPr="008D777B" w:rsidRDefault="004C78C0" w:rsidP="004C78C0">
      <w:pPr>
        <w:spacing w:line="257" w:lineRule="auto"/>
        <w:jc w:val="both"/>
      </w:pPr>
      <w:r w:rsidRPr="6DE0C369">
        <w:rPr>
          <w:rFonts w:ascii="Calibri" w:hAnsi="Calibri"/>
        </w:rPr>
        <w:t xml:space="preserve">En raison de l'affaiblissement prévu de l'activité économique en 2022 et en 2023 en Belgique et dans l'UE, les perspectives d'augmentation de l'activité dans l'industrie de l'ameublement sont très </w:t>
      </w:r>
      <w:r>
        <w:rPr>
          <w:rFonts w:ascii="Calibri" w:hAnsi="Calibri"/>
        </w:rPr>
        <w:t>sombres</w:t>
      </w:r>
      <w:r w:rsidRPr="6DE0C369">
        <w:rPr>
          <w:rFonts w:ascii="Calibri" w:hAnsi="Calibri"/>
        </w:rPr>
        <w:t xml:space="preserve">. </w:t>
      </w:r>
    </w:p>
    <w:p w14:paraId="7EDE689E" w14:textId="77777777" w:rsidR="004C78C0" w:rsidRPr="008D777B" w:rsidRDefault="004C78C0" w:rsidP="004C78C0">
      <w:pPr>
        <w:jc w:val="both"/>
      </w:pPr>
    </w:p>
    <w:p w14:paraId="35606A70" w14:textId="77777777" w:rsidR="004C78C0" w:rsidRPr="008D777B" w:rsidRDefault="004C78C0" w:rsidP="004C78C0">
      <w:pPr>
        <w:tabs>
          <w:tab w:val="left" w:pos="3884"/>
        </w:tabs>
        <w:ind w:right="28"/>
        <w:jc w:val="both"/>
        <w:rPr>
          <w:rFonts w:cstheme="minorHAnsi"/>
          <w:highlight w:val="yellow"/>
        </w:rPr>
      </w:pPr>
    </w:p>
    <w:p w14:paraId="4EE01A09" w14:textId="77777777" w:rsidR="004C78C0" w:rsidRPr="00620314" w:rsidRDefault="004C78C0" w:rsidP="004C78C0">
      <w:pPr>
        <w:pStyle w:val="BodyText"/>
        <w:pBdr>
          <w:bottom w:val="single" w:sz="4" w:space="1" w:color="auto"/>
        </w:pBdr>
        <w:rPr>
          <w:rFonts w:asciiTheme="minorHAnsi" w:hAnsiTheme="minorHAnsi" w:cstheme="minorHAnsi"/>
          <w:highlight w:val="yellow"/>
          <w:lang w:val="fr-BE"/>
        </w:rPr>
      </w:pPr>
    </w:p>
    <w:p w14:paraId="0653B2D3" w14:textId="77777777" w:rsidR="004C78C0" w:rsidRPr="00620314" w:rsidRDefault="004C78C0" w:rsidP="004C78C0">
      <w:pPr>
        <w:pStyle w:val="BodyText"/>
        <w:pBdr>
          <w:bottom w:val="single" w:sz="4" w:space="1" w:color="auto"/>
        </w:pBdr>
        <w:rPr>
          <w:rFonts w:asciiTheme="minorHAnsi" w:hAnsiTheme="minorHAnsi" w:cstheme="minorBidi"/>
          <w:lang w:val="fr-BE"/>
        </w:rPr>
      </w:pPr>
    </w:p>
    <w:p w14:paraId="53FFFD2D" w14:textId="77777777" w:rsidR="004C78C0" w:rsidRPr="008D777B" w:rsidRDefault="004C78C0" w:rsidP="004C78C0"/>
    <w:p w14:paraId="1EA08DDA" w14:textId="77777777" w:rsidR="004C78C0" w:rsidRPr="008D777B" w:rsidRDefault="004C78C0" w:rsidP="004C78C0"/>
    <w:p w14:paraId="106EAA42" w14:textId="77777777" w:rsidR="004C78C0" w:rsidRPr="00620314" w:rsidRDefault="004C78C0" w:rsidP="004C78C0">
      <w:pPr>
        <w:pStyle w:val="BodyText"/>
        <w:rPr>
          <w:rFonts w:asciiTheme="minorHAnsi" w:hAnsiTheme="minorHAnsi" w:cstheme="minorBidi"/>
          <w:lang w:val="fr-BE"/>
        </w:rPr>
      </w:pPr>
      <w:r w:rsidRPr="00620314">
        <w:rPr>
          <w:rFonts w:asciiTheme="minorHAnsi" w:hAnsiTheme="minorHAnsi"/>
          <w:lang w:val="fr-BE"/>
        </w:rPr>
        <w:t>Source : Fedustria</w:t>
      </w:r>
    </w:p>
    <w:p w14:paraId="00865316" w14:textId="77777777" w:rsidR="004C78C0" w:rsidRPr="00620314" w:rsidRDefault="004C78C0" w:rsidP="004C78C0">
      <w:pPr>
        <w:pStyle w:val="BodyText"/>
        <w:rPr>
          <w:rFonts w:asciiTheme="minorHAnsi" w:hAnsiTheme="minorHAnsi" w:cstheme="minorBidi"/>
          <w:lang w:val="fr-BE"/>
        </w:rPr>
      </w:pPr>
    </w:p>
    <w:p w14:paraId="3C2E33CE" w14:textId="77777777" w:rsidR="004C78C0" w:rsidRPr="008D777B" w:rsidRDefault="004C78C0" w:rsidP="004C78C0">
      <w:pPr>
        <w:jc w:val="both"/>
        <w:textAlignment w:val="center"/>
      </w:pPr>
      <w:proofErr w:type="spellStart"/>
      <w:r w:rsidRPr="008D777B">
        <w:rPr>
          <w:i/>
        </w:rPr>
        <w:t>Fedustria</w:t>
      </w:r>
      <w:proofErr w:type="spellEnd"/>
      <w:r w:rsidRPr="008D777B">
        <w:rPr>
          <w:i/>
        </w:rPr>
        <w:t xml:space="preserve"> est la fédération belge de l’industrie du textile, du bois et de l’ameublement. Nous représentons en Belgique quelque 1.700 entreprises (dont plus de 90 % sont des pme), qui créent ensemble 36.000 emplois directs et réalisent un chiffre d'affaires de 10,9 milliards d'euros, dont environ 70 % proviennent de l'exportation.</w:t>
      </w:r>
    </w:p>
    <w:p w14:paraId="5386443F" w14:textId="77777777" w:rsidR="004C78C0" w:rsidRPr="00620314" w:rsidRDefault="004C78C0" w:rsidP="004C78C0">
      <w:pPr>
        <w:pStyle w:val="BodyText"/>
        <w:rPr>
          <w:rFonts w:asciiTheme="minorHAnsi" w:hAnsiTheme="minorHAnsi" w:cstheme="minorBidi"/>
          <w:i/>
          <w:iCs/>
          <w:lang w:val="fr-BE"/>
        </w:rPr>
      </w:pPr>
    </w:p>
    <w:p w14:paraId="60F50518" w14:textId="77777777" w:rsidR="004C78C0" w:rsidRPr="00620314" w:rsidRDefault="004C78C0" w:rsidP="004C78C0">
      <w:pPr>
        <w:pStyle w:val="BodyText"/>
        <w:rPr>
          <w:rFonts w:asciiTheme="minorHAnsi" w:hAnsiTheme="minorHAnsi" w:cstheme="minorBidi"/>
          <w:i/>
          <w:iCs/>
          <w:lang w:val="fr-BE"/>
        </w:rPr>
      </w:pPr>
      <w:r w:rsidRPr="00620314">
        <w:rPr>
          <w:rFonts w:asciiTheme="minorHAnsi" w:hAnsiTheme="minorHAnsi"/>
          <w:i/>
          <w:lang w:val="fr-BE"/>
        </w:rPr>
        <w:t>Considérée individuellement, l’industrie belge de l’ameublement réalise un chiffre d’affaires de 2,3 milliards d'euros et occupe quelque 10.000 personnes.</w:t>
      </w:r>
    </w:p>
    <w:p w14:paraId="32D14C40" w14:textId="77777777" w:rsidR="004C78C0" w:rsidRPr="00620314" w:rsidRDefault="004C78C0" w:rsidP="004C78C0">
      <w:pPr>
        <w:pStyle w:val="BodyText"/>
        <w:rPr>
          <w:rFonts w:asciiTheme="minorHAnsi" w:hAnsiTheme="minorHAnsi" w:cstheme="minorBidi"/>
          <w:i/>
          <w:iCs/>
          <w:lang w:val="fr-BE"/>
        </w:rPr>
      </w:pPr>
    </w:p>
    <w:p w14:paraId="2267079F" w14:textId="77777777" w:rsidR="004C78C0" w:rsidRPr="00620314" w:rsidRDefault="004C78C0" w:rsidP="004C78C0">
      <w:pPr>
        <w:pStyle w:val="BodyText"/>
        <w:tabs>
          <w:tab w:val="clear" w:pos="3884"/>
        </w:tabs>
        <w:rPr>
          <w:rFonts w:asciiTheme="minorHAnsi" w:hAnsiTheme="minorHAnsi" w:cstheme="minorBidi"/>
          <w:lang w:val="fr-BE"/>
        </w:rPr>
      </w:pPr>
      <w:r w:rsidRPr="00620314">
        <w:rPr>
          <w:rFonts w:asciiTheme="minorHAnsi" w:hAnsiTheme="minorHAnsi"/>
          <w:u w:val="single"/>
          <w:lang w:val="fr-BE"/>
        </w:rPr>
        <w:t>Pour plus d'informations</w:t>
      </w:r>
      <w:r w:rsidRPr="00620314">
        <w:rPr>
          <w:rFonts w:asciiTheme="minorHAnsi" w:hAnsiTheme="minorHAnsi"/>
          <w:lang w:val="fr-BE"/>
        </w:rPr>
        <w:t> :</w:t>
      </w:r>
    </w:p>
    <w:p w14:paraId="659C2677" w14:textId="77777777" w:rsidR="004C78C0" w:rsidRPr="00620314" w:rsidRDefault="004C78C0" w:rsidP="004C78C0">
      <w:pPr>
        <w:pStyle w:val="BodyText"/>
        <w:tabs>
          <w:tab w:val="clear" w:pos="3884"/>
        </w:tabs>
        <w:rPr>
          <w:rStyle w:val="Hyperlink"/>
          <w:rFonts w:asciiTheme="minorHAnsi" w:eastAsiaTheme="minorEastAsia" w:hAnsiTheme="minorHAnsi" w:cstheme="minorBidi"/>
          <w:lang w:val="fr-BE"/>
        </w:rPr>
      </w:pPr>
      <w:r w:rsidRPr="00620314">
        <w:rPr>
          <w:rFonts w:asciiTheme="minorHAnsi" w:hAnsiTheme="minorHAnsi"/>
          <w:lang w:val="fr-BE"/>
        </w:rPr>
        <w:t>Filip De Jaeger, T 02/528 58 61, GSM 0486/89 81 84, e-mail filip.de.jaeger@fedustria.be</w:t>
      </w:r>
    </w:p>
    <w:p w14:paraId="3393DC45" w14:textId="4A01B7B0" w:rsidR="00D16ED2" w:rsidRPr="00620314" w:rsidRDefault="00D16ED2" w:rsidP="00D16ED2">
      <w:pPr>
        <w:pStyle w:val="BodyText"/>
        <w:tabs>
          <w:tab w:val="clear" w:pos="3884"/>
        </w:tabs>
        <w:rPr>
          <w:rStyle w:val="Hyperlink"/>
          <w:rFonts w:asciiTheme="minorHAnsi" w:eastAsiaTheme="minorEastAsia" w:hAnsiTheme="minorHAnsi" w:cstheme="minorBidi"/>
          <w:lang w:val="fr-BE"/>
        </w:rPr>
      </w:pPr>
    </w:p>
    <w:p w14:paraId="572A3526" w14:textId="5E88385B" w:rsidR="00F6785F" w:rsidRPr="004B31D6" w:rsidRDefault="004C78C0" w:rsidP="00F6785F">
      <w:pPr>
        <w:pStyle w:val="Heading7"/>
        <w:pBdr>
          <w:top w:val="single" w:sz="4" w:space="1" w:color="auto"/>
          <w:left w:val="single" w:sz="4" w:space="1" w:color="auto"/>
          <w:bottom w:val="single" w:sz="4" w:space="1" w:color="auto"/>
          <w:right w:val="single" w:sz="4" w:space="1" w:color="auto"/>
        </w:pBdr>
        <w:jc w:val="center"/>
        <w:rPr>
          <w:rFonts w:asciiTheme="minorHAnsi" w:hAnsiTheme="minorHAnsi" w:cstheme="minorBidi"/>
          <w:lang w:val="fr-FR"/>
        </w:rPr>
      </w:pPr>
      <w:r w:rsidRPr="004B31D6">
        <w:rPr>
          <w:rFonts w:asciiTheme="minorHAnsi" w:hAnsiTheme="minorHAnsi" w:cstheme="minorHAnsi"/>
          <w:b/>
          <w:i w:val="0"/>
          <w:color w:val="auto"/>
          <w:sz w:val="36"/>
          <w:szCs w:val="36"/>
          <w:lang w:val="fr-FR"/>
        </w:rPr>
        <w:lastRenderedPageBreak/>
        <w:t>LE SALON DU MEUBLE 2022</w:t>
      </w:r>
    </w:p>
    <w:p w14:paraId="0945E1A1" w14:textId="77777777" w:rsidR="00F6785F" w:rsidRPr="004B31D6" w:rsidRDefault="00F6785F" w:rsidP="00F6785F">
      <w:pPr>
        <w:pBdr>
          <w:top w:val="single" w:sz="4" w:space="1" w:color="auto"/>
          <w:left w:val="single" w:sz="4" w:space="1" w:color="auto"/>
          <w:bottom w:val="single" w:sz="4" w:space="1" w:color="auto"/>
          <w:right w:val="single" w:sz="4" w:space="1" w:color="auto"/>
        </w:pBdr>
        <w:rPr>
          <w:rFonts w:cstheme="minorHAnsi"/>
          <w:lang w:val="fr-FR"/>
        </w:rPr>
      </w:pPr>
    </w:p>
    <w:p w14:paraId="562B0DA4" w14:textId="130881CC" w:rsidR="00735310" w:rsidRPr="004B31D6" w:rsidRDefault="00735310">
      <w:pPr>
        <w:rPr>
          <w:lang w:val="fr-FR"/>
        </w:rPr>
      </w:pPr>
    </w:p>
    <w:p w14:paraId="3A58442D" w14:textId="77777777" w:rsidR="00654255" w:rsidRPr="004B31D6" w:rsidRDefault="00620314" w:rsidP="00620314">
      <w:pPr>
        <w:rPr>
          <w:lang w:val="fr-FR"/>
        </w:rPr>
      </w:pPr>
      <w:r w:rsidRPr="004B31D6">
        <w:rPr>
          <w:lang w:val="fr-FR"/>
        </w:rPr>
        <w:t>Au cours des 15 à 20 prochaines minutes, nous ne voulons pas vous ennuyer avec beaucoup plus</w:t>
      </w:r>
      <w:r w:rsidR="00654255" w:rsidRPr="004B31D6">
        <w:rPr>
          <w:lang w:val="fr-FR"/>
        </w:rPr>
        <w:t xml:space="preserve"> de</w:t>
      </w:r>
      <w:r w:rsidRPr="004B31D6">
        <w:rPr>
          <w:lang w:val="fr-FR"/>
        </w:rPr>
        <w:t xml:space="preserve"> chiffres et allons donc essayer d’être assez brefs. </w:t>
      </w:r>
    </w:p>
    <w:p w14:paraId="1EE95818" w14:textId="3DD4003F" w:rsidR="00620314" w:rsidRPr="004B31D6" w:rsidRDefault="00620314" w:rsidP="00620314">
      <w:pPr>
        <w:rPr>
          <w:lang w:val="fr-FR"/>
        </w:rPr>
      </w:pPr>
      <w:r w:rsidRPr="004B31D6">
        <w:rPr>
          <w:lang w:val="fr-FR"/>
        </w:rPr>
        <w:t>Cette année, nous avons eu l'honneur d'accueillir 215 fabricants de meubles. Par rapport à l’édition précédente, cela représente une augmentation de 47 exposants.</w:t>
      </w:r>
      <w:r w:rsidR="00654255" w:rsidRPr="004B31D6">
        <w:rPr>
          <w:lang w:val="fr-FR"/>
        </w:rPr>
        <w:t xml:space="preserve"> </w:t>
      </w:r>
      <w:r w:rsidRPr="004B31D6">
        <w:rPr>
          <w:lang w:val="fr-FR"/>
        </w:rPr>
        <w:t>Mais ce qui nous satisfait le plus, c'est le fait que cette augmentation confirme continuellement notre identité internationale. C'est une tendance que nous souhaitons renforcer dans les années à venir. Cette année, nous avons par exemple 7 exposants de plus venant de Scandinavie.</w:t>
      </w:r>
    </w:p>
    <w:p w14:paraId="7A6B280F" w14:textId="5E7D810B" w:rsidR="00620314" w:rsidRPr="004B31D6" w:rsidRDefault="00620314" w:rsidP="00620314">
      <w:pPr>
        <w:rPr>
          <w:lang w:val="fr-FR"/>
        </w:rPr>
      </w:pPr>
      <w:r w:rsidRPr="004B31D6">
        <w:rPr>
          <w:lang w:val="fr-FR"/>
        </w:rPr>
        <w:t>En ce qui concerne le nombre de visiteurs, nous avons constaté un statu quo en examinant les préinscriptions. Comme nos visiteurs VIP ont été particulièrement rapide</w:t>
      </w:r>
      <w:r w:rsidR="00654255" w:rsidRPr="004B31D6">
        <w:rPr>
          <w:lang w:val="fr-FR"/>
        </w:rPr>
        <w:t>s</w:t>
      </w:r>
      <w:r w:rsidRPr="004B31D6">
        <w:rPr>
          <w:lang w:val="fr-FR"/>
        </w:rPr>
        <w:t xml:space="preserve"> à répondre à nos invitations, nous prévoyons, ou espérons du moins, une légère augmentation du nombre de visiteurs par rapport à l'année dernière. </w:t>
      </w:r>
      <w:r w:rsidR="00585B85" w:rsidRPr="004B31D6">
        <w:rPr>
          <w:lang w:val="fr-FR"/>
        </w:rPr>
        <w:t>É</w:t>
      </w:r>
      <w:r w:rsidRPr="004B31D6">
        <w:rPr>
          <w:lang w:val="fr-FR"/>
        </w:rPr>
        <w:t xml:space="preserve">tant donné que la plupart de nos visiteurs viennent d'Europe, nous avons la chance de ne pas trop ressentir l'influence des conflits internationaux actuels. Mais pour les années à venir, nous croyons fermement que le nombre de visiteurs peut augmenter de manière significative ! Pour y parvenir, </w:t>
      </w:r>
      <w:r w:rsidR="00654255" w:rsidRPr="004B31D6">
        <w:rPr>
          <w:lang w:val="fr-FR"/>
        </w:rPr>
        <w:t xml:space="preserve">nous </w:t>
      </w:r>
      <w:r w:rsidRPr="004B31D6">
        <w:rPr>
          <w:lang w:val="fr-FR"/>
        </w:rPr>
        <w:t>mettrons l'accent sur de nouvelles régions</w:t>
      </w:r>
      <w:r w:rsidR="00654255" w:rsidRPr="004B31D6">
        <w:rPr>
          <w:lang w:val="fr-FR"/>
        </w:rPr>
        <w:t xml:space="preserve"> et</w:t>
      </w:r>
      <w:r w:rsidRPr="004B31D6">
        <w:rPr>
          <w:lang w:val="fr-FR"/>
        </w:rPr>
        <w:t xml:space="preserve"> </w:t>
      </w:r>
      <w:r w:rsidR="00654255" w:rsidRPr="004B31D6">
        <w:rPr>
          <w:lang w:val="fr-FR"/>
        </w:rPr>
        <w:t xml:space="preserve">sur </w:t>
      </w:r>
      <w:r w:rsidRPr="004B31D6">
        <w:rPr>
          <w:lang w:val="fr-FR"/>
        </w:rPr>
        <w:t xml:space="preserve">les personnes actives </w:t>
      </w:r>
      <w:r w:rsidR="00556570" w:rsidRPr="004B31D6">
        <w:rPr>
          <w:lang w:val="fr-FR"/>
        </w:rPr>
        <w:t>sur le marché des collectivités</w:t>
      </w:r>
      <w:r w:rsidRPr="004B31D6">
        <w:rPr>
          <w:lang w:val="fr-FR"/>
        </w:rPr>
        <w:t xml:space="preserve">, mais nous avons également pour objectif d'améliorer notre communication </w:t>
      </w:r>
      <w:r w:rsidR="00654255" w:rsidRPr="004B31D6">
        <w:rPr>
          <w:lang w:val="fr-FR"/>
        </w:rPr>
        <w:t>en cours</w:t>
      </w:r>
      <w:r w:rsidRPr="004B31D6">
        <w:rPr>
          <w:lang w:val="fr-FR"/>
        </w:rPr>
        <w:t xml:space="preserve"> </w:t>
      </w:r>
      <w:r w:rsidR="00654255" w:rsidRPr="004B31D6">
        <w:rPr>
          <w:lang w:val="fr-FR"/>
        </w:rPr>
        <w:t>d</w:t>
      </w:r>
      <w:r w:rsidRPr="004B31D6">
        <w:rPr>
          <w:lang w:val="fr-FR"/>
        </w:rPr>
        <w:t>'année</w:t>
      </w:r>
      <w:r w:rsidR="00556570" w:rsidRPr="004B31D6">
        <w:rPr>
          <w:lang w:val="fr-FR"/>
        </w:rPr>
        <w:t>,</w:t>
      </w:r>
      <w:r w:rsidRPr="004B31D6">
        <w:rPr>
          <w:lang w:val="fr-FR"/>
        </w:rPr>
        <w:t xml:space="preserve"> avec plus de visibilité et plus de contenu.</w:t>
      </w:r>
    </w:p>
    <w:p w14:paraId="6758464E" w14:textId="0FCC78F0" w:rsidR="00556570" w:rsidRPr="004B31D6" w:rsidRDefault="00556570" w:rsidP="00620314">
      <w:pPr>
        <w:rPr>
          <w:lang w:val="fr-FR"/>
        </w:rPr>
      </w:pPr>
      <w:r w:rsidRPr="004B31D6">
        <w:rPr>
          <w:lang w:val="fr-FR"/>
        </w:rPr>
        <w:t xml:space="preserve">Comme vous l'avez tous lu et écrit, le Salon du </w:t>
      </w:r>
      <w:r w:rsidR="00654255" w:rsidRPr="004B31D6">
        <w:rPr>
          <w:lang w:val="fr-FR"/>
        </w:rPr>
        <w:t>M</w:t>
      </w:r>
      <w:r w:rsidRPr="004B31D6">
        <w:rPr>
          <w:lang w:val="fr-FR"/>
        </w:rPr>
        <w:t>euble de Bruxelles a très récemment changé de direction</w:t>
      </w:r>
      <w:r w:rsidR="00654255" w:rsidRPr="004B31D6">
        <w:rPr>
          <w:lang w:val="fr-FR"/>
        </w:rPr>
        <w:t>,</w:t>
      </w:r>
      <w:r w:rsidRPr="004B31D6">
        <w:rPr>
          <w:lang w:val="fr-FR"/>
        </w:rPr>
        <w:t xml:space="preserve"> et donc aussi de cap. Nous n'avons pas l'intention de procéder à une transformation complète, mais d'apporter des améliorations là où nous le jugeons nécessaire et d'utiliser nos forces plus efficacement. </w:t>
      </w:r>
    </w:p>
    <w:p w14:paraId="445E12BB" w14:textId="0AE1AEC9" w:rsidR="00620314" w:rsidRPr="004B31D6" w:rsidRDefault="00556570" w:rsidP="00620314">
      <w:pPr>
        <w:rPr>
          <w:lang w:val="fr-FR"/>
        </w:rPr>
      </w:pPr>
      <w:r w:rsidRPr="004B31D6">
        <w:rPr>
          <w:lang w:val="fr-FR"/>
        </w:rPr>
        <w:t xml:space="preserve">Pour y parvenir, nous voulons nous concentrer sur trois points principaux : </w:t>
      </w:r>
      <w:r w:rsidR="00F0370D" w:rsidRPr="004B31D6">
        <w:rPr>
          <w:lang w:val="fr-FR"/>
        </w:rPr>
        <w:t>le caractère réaliste</w:t>
      </w:r>
      <w:r w:rsidRPr="004B31D6">
        <w:rPr>
          <w:lang w:val="fr-FR"/>
        </w:rPr>
        <w:t>, la fiabilité et la création d'une expérience inoubliable pour nos visiteurs</w:t>
      </w:r>
      <w:r w:rsidR="00620314" w:rsidRPr="004B31D6">
        <w:rPr>
          <w:lang w:val="fr-FR"/>
        </w:rPr>
        <w:t>.</w:t>
      </w:r>
    </w:p>
    <w:p w14:paraId="68016114" w14:textId="579B993F" w:rsidR="00620314" w:rsidRPr="004B31D6" w:rsidRDefault="00654255" w:rsidP="00620314">
      <w:pPr>
        <w:rPr>
          <w:lang w:val="fr-FR"/>
        </w:rPr>
      </w:pPr>
      <w:r w:rsidRPr="004B31D6">
        <w:rPr>
          <w:lang w:val="fr-FR"/>
        </w:rPr>
        <w:t>Premièrement</w:t>
      </w:r>
      <w:r w:rsidR="00556570" w:rsidRPr="004B31D6">
        <w:rPr>
          <w:lang w:val="fr-FR"/>
        </w:rPr>
        <w:t>, le Salon du Meuble de Bruxelles a toujours été un salon très réaliste et efficace</w:t>
      </w:r>
      <w:r w:rsidR="00F91E56" w:rsidRPr="004B31D6">
        <w:rPr>
          <w:lang w:val="fr-FR"/>
        </w:rPr>
        <w:t> :</w:t>
      </w:r>
      <w:r w:rsidR="00556570" w:rsidRPr="004B31D6">
        <w:rPr>
          <w:lang w:val="fr-FR"/>
        </w:rPr>
        <w:t xml:space="preserve"> </w:t>
      </w:r>
      <w:r w:rsidR="00F91E56" w:rsidRPr="004B31D6">
        <w:rPr>
          <w:lang w:val="fr-FR"/>
        </w:rPr>
        <w:t>d</w:t>
      </w:r>
      <w:r w:rsidR="00556570" w:rsidRPr="004B31D6">
        <w:rPr>
          <w:lang w:val="fr-FR"/>
        </w:rPr>
        <w:t>'une part</w:t>
      </w:r>
      <w:r w:rsidRPr="004B31D6">
        <w:rPr>
          <w:lang w:val="fr-FR"/>
        </w:rPr>
        <w:t xml:space="preserve"> </w:t>
      </w:r>
      <w:r w:rsidR="00556570" w:rsidRPr="004B31D6">
        <w:rPr>
          <w:lang w:val="fr-FR"/>
        </w:rPr>
        <w:t>pour nos visiteurs, qui peuvent visiter un salon à taille humaine où ils peuvent trouver une offre large et en phase avec le marché</w:t>
      </w:r>
      <w:r w:rsidRPr="004B31D6">
        <w:rPr>
          <w:lang w:val="fr-FR"/>
        </w:rPr>
        <w:t> ;</w:t>
      </w:r>
      <w:r w:rsidR="00556570" w:rsidRPr="004B31D6">
        <w:rPr>
          <w:lang w:val="fr-FR"/>
        </w:rPr>
        <w:t xml:space="preserve"> </w:t>
      </w:r>
      <w:r w:rsidRPr="004B31D6">
        <w:rPr>
          <w:lang w:val="fr-FR"/>
        </w:rPr>
        <w:t>d</w:t>
      </w:r>
      <w:r w:rsidR="00556570" w:rsidRPr="004B31D6">
        <w:rPr>
          <w:lang w:val="fr-FR"/>
        </w:rPr>
        <w:t>'autre part pour nos exposants</w:t>
      </w:r>
      <w:r w:rsidRPr="004B31D6">
        <w:rPr>
          <w:lang w:val="fr-FR"/>
        </w:rPr>
        <w:t>,</w:t>
      </w:r>
      <w:r w:rsidR="00556570" w:rsidRPr="004B31D6">
        <w:rPr>
          <w:lang w:val="fr-FR"/>
        </w:rPr>
        <w:t xml:space="preserve"> qui peuvent participer à un prix au mètre carré plus que réaliste, et qui peuvent compter sur notre équipe très expérimentée pour une organisation efficace et fluide. Nous voulons absolument conserver et renforcer cet élément</w:t>
      </w:r>
      <w:r w:rsidR="00F91E56" w:rsidRPr="004B31D6">
        <w:rPr>
          <w:lang w:val="fr-FR"/>
        </w:rPr>
        <w:t xml:space="preserve"> caractéristique de notre salon</w:t>
      </w:r>
      <w:r w:rsidRPr="004B31D6">
        <w:rPr>
          <w:lang w:val="fr-FR"/>
        </w:rPr>
        <w:t> !</w:t>
      </w:r>
    </w:p>
    <w:p w14:paraId="17F6319B" w14:textId="1552CF7A" w:rsidR="00620314" w:rsidRPr="004B31D6" w:rsidRDefault="00556570" w:rsidP="00620314">
      <w:pPr>
        <w:rPr>
          <w:lang w:val="fr-FR"/>
        </w:rPr>
      </w:pPr>
      <w:r w:rsidRPr="004B31D6">
        <w:rPr>
          <w:lang w:val="fr-FR"/>
        </w:rPr>
        <w:t xml:space="preserve">Deuxièmement, et peut-être le plus important : la fiabilité ! Surtout en ces temps de crise, ou du moins dans une période pleine d'incertitudes et de questions sur l'avenir, Bruxelles veut </w:t>
      </w:r>
      <w:r w:rsidR="00654255" w:rsidRPr="004B31D6">
        <w:rPr>
          <w:lang w:val="fr-FR"/>
        </w:rPr>
        <w:t xml:space="preserve">servir de </w:t>
      </w:r>
      <w:r w:rsidR="00F91E56" w:rsidRPr="004B31D6">
        <w:rPr>
          <w:lang w:val="fr-FR"/>
        </w:rPr>
        <w:t>valeur sure</w:t>
      </w:r>
      <w:r w:rsidRPr="004B31D6">
        <w:rPr>
          <w:lang w:val="fr-FR"/>
        </w:rPr>
        <w:t xml:space="preserve"> pour l'ensemble du secteur. Organiser un salon ne signifie pas seulement beaucoup de travail pour nous en tant qu'organisateur</w:t>
      </w:r>
      <w:r w:rsidR="00654255" w:rsidRPr="004B31D6">
        <w:rPr>
          <w:lang w:val="fr-FR"/>
        </w:rPr>
        <w:t xml:space="preserve">s, mais </w:t>
      </w:r>
      <w:r w:rsidRPr="004B31D6">
        <w:rPr>
          <w:lang w:val="fr-FR"/>
        </w:rPr>
        <w:t xml:space="preserve">implique aussi beaucoup de préparatifs et de planification pour nos exposants. Ils doivent s'assurer que toute leur équipe </w:t>
      </w:r>
      <w:r w:rsidR="00654255" w:rsidRPr="004B31D6">
        <w:rPr>
          <w:lang w:val="fr-FR"/>
        </w:rPr>
        <w:t xml:space="preserve">soit </w:t>
      </w:r>
      <w:r w:rsidRPr="004B31D6">
        <w:rPr>
          <w:lang w:val="fr-FR"/>
        </w:rPr>
        <w:t xml:space="preserve">disponible pendant le salon, ils doivent organiser la construction du stand et espérer que </w:t>
      </w:r>
      <w:r w:rsidR="00654255" w:rsidRPr="004B31D6">
        <w:rPr>
          <w:lang w:val="fr-FR"/>
        </w:rPr>
        <w:t xml:space="preserve">le </w:t>
      </w:r>
      <w:r w:rsidR="00EF2584" w:rsidRPr="004B31D6">
        <w:rPr>
          <w:lang w:val="fr-FR"/>
        </w:rPr>
        <w:t>fournisseur</w:t>
      </w:r>
      <w:r w:rsidRPr="004B31D6">
        <w:rPr>
          <w:lang w:val="fr-FR"/>
        </w:rPr>
        <w:t xml:space="preserve"> ne manque pas de personnel et </w:t>
      </w:r>
      <w:r w:rsidR="00EF2584" w:rsidRPr="004B31D6">
        <w:rPr>
          <w:lang w:val="fr-FR"/>
        </w:rPr>
        <w:t>qu’il a</w:t>
      </w:r>
      <w:r w:rsidR="00654255" w:rsidRPr="004B31D6">
        <w:rPr>
          <w:lang w:val="fr-FR"/>
        </w:rPr>
        <w:t>it</w:t>
      </w:r>
      <w:r w:rsidR="00EF2584" w:rsidRPr="004B31D6">
        <w:rPr>
          <w:lang w:val="fr-FR"/>
        </w:rPr>
        <w:t xml:space="preserve"> encore </w:t>
      </w:r>
      <w:r w:rsidR="00654255" w:rsidRPr="004B31D6">
        <w:rPr>
          <w:lang w:val="fr-FR"/>
        </w:rPr>
        <w:t>de la place</w:t>
      </w:r>
      <w:r w:rsidR="00EF2584" w:rsidRPr="004B31D6">
        <w:rPr>
          <w:lang w:val="fr-FR"/>
        </w:rPr>
        <w:t xml:space="preserve"> dans son agenda</w:t>
      </w:r>
      <w:r w:rsidRPr="004B31D6">
        <w:rPr>
          <w:lang w:val="fr-FR"/>
        </w:rPr>
        <w:t xml:space="preserve">. Ils doivent </w:t>
      </w:r>
      <w:r w:rsidR="00585B85" w:rsidRPr="004B31D6">
        <w:rPr>
          <w:lang w:val="fr-FR"/>
        </w:rPr>
        <w:t xml:space="preserve">veiller à ce </w:t>
      </w:r>
      <w:r w:rsidRPr="004B31D6">
        <w:rPr>
          <w:lang w:val="fr-FR"/>
        </w:rPr>
        <w:t xml:space="preserve">que la nouvelle collection </w:t>
      </w:r>
      <w:r w:rsidR="00585B85" w:rsidRPr="004B31D6">
        <w:rPr>
          <w:lang w:val="fr-FR"/>
        </w:rPr>
        <w:t xml:space="preserve">soit </w:t>
      </w:r>
      <w:r w:rsidRPr="004B31D6">
        <w:rPr>
          <w:lang w:val="fr-FR"/>
        </w:rPr>
        <w:t>prête à temps pour être présentée au salon. Et tout cela doit s'inscrire dans le budget marketing qui a été fixé des mois auparavant.</w:t>
      </w:r>
    </w:p>
    <w:p w14:paraId="5AD9CC04" w14:textId="2A59EAE3" w:rsidR="00620314" w:rsidRPr="004B31D6" w:rsidRDefault="00EF2584" w:rsidP="00620314">
      <w:pPr>
        <w:rPr>
          <w:lang w:val="fr-FR"/>
        </w:rPr>
      </w:pPr>
      <w:r w:rsidRPr="004B31D6">
        <w:rPr>
          <w:lang w:val="fr-FR"/>
        </w:rPr>
        <w:t xml:space="preserve">Les exposants, mais aussi les acheteurs et toutes les autres parties prenantes doivent savoir que lorsqu'ils inscrivent le Salon du </w:t>
      </w:r>
      <w:r w:rsidR="00585B85" w:rsidRPr="004B31D6">
        <w:rPr>
          <w:lang w:val="fr-FR"/>
        </w:rPr>
        <w:t>M</w:t>
      </w:r>
      <w:r w:rsidRPr="004B31D6">
        <w:rPr>
          <w:lang w:val="fr-FR"/>
        </w:rPr>
        <w:t xml:space="preserve">euble de Bruxelles dans leur agenda, c'est comme s'il était gravé </w:t>
      </w:r>
      <w:r w:rsidRPr="004B31D6">
        <w:rPr>
          <w:lang w:val="fr-FR"/>
        </w:rPr>
        <w:lastRenderedPageBreak/>
        <w:t>dans la pierre. Que ce soit avec un taux d'occupation de 100</w:t>
      </w:r>
      <w:r w:rsidR="00585B85" w:rsidRPr="004B31D6">
        <w:rPr>
          <w:lang w:val="fr-FR"/>
        </w:rPr>
        <w:t> </w:t>
      </w:r>
      <w:r w:rsidRPr="004B31D6">
        <w:rPr>
          <w:lang w:val="fr-FR"/>
        </w:rPr>
        <w:t>% ou de 60</w:t>
      </w:r>
      <w:r w:rsidR="00585B85" w:rsidRPr="004B31D6">
        <w:rPr>
          <w:lang w:val="fr-FR"/>
        </w:rPr>
        <w:t> </w:t>
      </w:r>
      <w:r w:rsidRPr="004B31D6">
        <w:rPr>
          <w:lang w:val="fr-FR"/>
        </w:rPr>
        <w:t>%, nous avons décidé de ne pas changer de date.</w:t>
      </w:r>
    </w:p>
    <w:p w14:paraId="7074A4F2" w14:textId="4F861916" w:rsidR="00620314" w:rsidRPr="004B31D6" w:rsidRDefault="00EF2584" w:rsidP="00620314">
      <w:pPr>
        <w:rPr>
          <w:lang w:val="fr-FR"/>
        </w:rPr>
      </w:pPr>
      <w:r w:rsidRPr="004B31D6">
        <w:rPr>
          <w:lang w:val="fr-FR"/>
        </w:rPr>
        <w:t xml:space="preserve">Enfin, nous voulons créer une expérience inoubliable. Les visiteurs doivent arriver au salon avec le sourire et en ressortir avec un bon sentiment et des moments qu'ils ne sont pas prêts d'oublier. Dans la région du Benelux en particulier, notre salon est considéré comme </w:t>
      </w:r>
      <w:r w:rsidR="00F0370D" w:rsidRPr="004B31D6">
        <w:rPr>
          <w:lang w:val="fr-FR"/>
        </w:rPr>
        <w:t>la grand-messe</w:t>
      </w:r>
      <w:r w:rsidR="00C601E4" w:rsidRPr="004B31D6">
        <w:rPr>
          <w:lang w:val="fr-FR"/>
        </w:rPr>
        <w:t xml:space="preserve"> </w:t>
      </w:r>
      <w:r w:rsidRPr="004B31D6">
        <w:rPr>
          <w:lang w:val="fr-FR"/>
        </w:rPr>
        <w:t>d</w:t>
      </w:r>
      <w:r w:rsidR="00585B85" w:rsidRPr="004B31D6">
        <w:rPr>
          <w:lang w:val="fr-FR"/>
        </w:rPr>
        <w:t>e la branche du</w:t>
      </w:r>
      <w:r w:rsidRPr="004B31D6">
        <w:rPr>
          <w:lang w:val="fr-FR"/>
        </w:rPr>
        <w:t xml:space="preserve"> </w:t>
      </w:r>
      <w:r w:rsidR="00F0370D" w:rsidRPr="004B31D6">
        <w:rPr>
          <w:lang w:val="fr-FR"/>
        </w:rPr>
        <w:t>meuble</w:t>
      </w:r>
      <w:r w:rsidRPr="004B31D6">
        <w:rPr>
          <w:lang w:val="fr-FR"/>
        </w:rPr>
        <w:t>. Nous voulons profiter de ce moment pour renouer les liens et créer un contact direct</w:t>
      </w:r>
      <w:r w:rsidR="00620314" w:rsidRPr="004B31D6">
        <w:rPr>
          <w:lang w:val="fr-FR"/>
        </w:rPr>
        <w:t>.</w:t>
      </w:r>
    </w:p>
    <w:p w14:paraId="45E8BC8B" w14:textId="6DB40A22" w:rsidR="00620314" w:rsidRPr="004B31D6" w:rsidRDefault="00EF2584" w:rsidP="00620314">
      <w:pPr>
        <w:rPr>
          <w:rFonts w:cstheme="minorHAnsi"/>
          <w:lang w:val="fr-FR"/>
        </w:rPr>
      </w:pPr>
      <w:r w:rsidRPr="004B31D6">
        <w:rPr>
          <w:lang w:val="fr-FR"/>
        </w:rPr>
        <w:t xml:space="preserve">Cette année, en guise d'avant-goût, tous nos visiteurs VIP ont trouvé dans leur chambre d’hôtel une pièce de monnaie du Salon du </w:t>
      </w:r>
      <w:r w:rsidR="00585B85" w:rsidRPr="004B31D6">
        <w:rPr>
          <w:lang w:val="fr-FR"/>
        </w:rPr>
        <w:t>M</w:t>
      </w:r>
      <w:r w:rsidRPr="004B31D6">
        <w:rPr>
          <w:lang w:val="fr-FR"/>
        </w:rPr>
        <w:t>euble</w:t>
      </w:r>
      <w:r w:rsidR="00ED77E9" w:rsidRPr="004B31D6">
        <w:rPr>
          <w:lang w:val="fr-FR"/>
        </w:rPr>
        <w:t>. Cette pièce sera également</w:t>
      </w:r>
      <w:r w:rsidRPr="004B31D6">
        <w:rPr>
          <w:lang w:val="fr-FR"/>
        </w:rPr>
        <w:t xml:space="preserve"> distribuée à tous les visiteurs </w:t>
      </w:r>
      <w:r w:rsidR="00ED77E9" w:rsidRPr="004B31D6">
        <w:rPr>
          <w:lang w:val="fr-FR"/>
        </w:rPr>
        <w:t>aux</w:t>
      </w:r>
      <w:r w:rsidRPr="004B31D6">
        <w:rPr>
          <w:lang w:val="fr-FR"/>
        </w:rPr>
        <w:t xml:space="preserve"> entrée</w:t>
      </w:r>
      <w:r w:rsidR="00ED77E9" w:rsidRPr="004B31D6">
        <w:rPr>
          <w:lang w:val="fr-FR"/>
        </w:rPr>
        <w:t xml:space="preserve">s du salon afin de </w:t>
      </w:r>
      <w:r w:rsidRPr="004B31D6">
        <w:rPr>
          <w:lang w:val="fr-FR"/>
        </w:rPr>
        <w:t xml:space="preserve">faire monter </w:t>
      </w:r>
      <w:r w:rsidR="00585B85" w:rsidRPr="004B31D6">
        <w:rPr>
          <w:lang w:val="fr-FR"/>
        </w:rPr>
        <w:t>le suspense</w:t>
      </w:r>
      <w:r w:rsidRPr="004B31D6">
        <w:rPr>
          <w:lang w:val="fr-FR"/>
        </w:rPr>
        <w:t>. Vous trouverez également une telle pièce dans votre dossier de presse. N'hésitez pas à l'essayer dans l'une de nos machines à chewing-gum situées à côté du comptoir VIP, juste en dessous de ce restaurant</w:t>
      </w:r>
      <w:r w:rsidR="00620314" w:rsidRPr="004B31D6">
        <w:rPr>
          <w:rFonts w:cstheme="minorHAnsi"/>
          <w:lang w:val="fr-FR"/>
        </w:rPr>
        <w:t>.</w:t>
      </w:r>
    </w:p>
    <w:p w14:paraId="0C95F83E" w14:textId="683FE17C" w:rsidR="00620314" w:rsidRPr="004B31D6" w:rsidRDefault="00ED77E9" w:rsidP="00620314">
      <w:pPr>
        <w:rPr>
          <w:rFonts w:cstheme="minorHAnsi"/>
          <w:lang w:val="fr-FR"/>
        </w:rPr>
      </w:pPr>
      <w:r w:rsidRPr="004B31D6">
        <w:rPr>
          <w:lang w:val="fr-FR"/>
        </w:rPr>
        <w:t xml:space="preserve">Afin </w:t>
      </w:r>
      <w:r w:rsidR="00585B85" w:rsidRPr="004B31D6">
        <w:rPr>
          <w:lang w:val="fr-FR"/>
        </w:rPr>
        <w:t>de travailler à ces points d’amélioration</w:t>
      </w:r>
      <w:r w:rsidRPr="004B31D6">
        <w:rPr>
          <w:lang w:val="fr-FR"/>
        </w:rPr>
        <w:t xml:space="preserve">, nous sommes convaincus que la communication est essentielle : envers nos clients, nos visiteurs, nos fournisseurs et les relations avec la presse bien sûr. C'est pourquoi nous avons renforcé notre équipe en faisant revenir Thomas en tant que responsable de la communication et du marketing, et moi-même en tant que directeur général, afin de </w:t>
      </w:r>
      <w:r w:rsidR="00AD36C0" w:rsidRPr="004B31D6">
        <w:rPr>
          <w:lang w:val="fr-FR"/>
        </w:rPr>
        <w:t>consolider</w:t>
      </w:r>
      <w:r w:rsidRPr="004B31D6">
        <w:rPr>
          <w:lang w:val="fr-FR"/>
        </w:rPr>
        <w:t xml:space="preserve"> et d'élargir les relations que nous entretenons avec nos exposants et nos partenaires. Le contact personnel et le dialogue sont </w:t>
      </w:r>
      <w:r w:rsidR="00F0370D" w:rsidRPr="004B31D6">
        <w:rPr>
          <w:lang w:val="fr-FR"/>
        </w:rPr>
        <w:t>d</w:t>
      </w:r>
      <w:r w:rsidR="00AD36C0" w:rsidRPr="004B31D6">
        <w:rPr>
          <w:lang w:val="fr-FR"/>
        </w:rPr>
        <w:t xml:space="preserve">es valeurs que nous </w:t>
      </w:r>
      <w:r w:rsidR="00F0370D" w:rsidRPr="004B31D6">
        <w:rPr>
          <w:lang w:val="fr-FR"/>
        </w:rPr>
        <w:t>prônons</w:t>
      </w:r>
      <w:r w:rsidRPr="004B31D6">
        <w:rPr>
          <w:lang w:val="fr-FR"/>
        </w:rPr>
        <w:t xml:space="preserve">, alors n'hésitez pas à venir nous trouver pour nous faire part de votre point de vue ou de votre vision de notre </w:t>
      </w:r>
      <w:r w:rsidR="00AD36C0" w:rsidRPr="004B31D6">
        <w:rPr>
          <w:lang w:val="fr-FR"/>
        </w:rPr>
        <w:t>secteur</w:t>
      </w:r>
      <w:r w:rsidR="00620314" w:rsidRPr="004B31D6">
        <w:rPr>
          <w:rFonts w:cstheme="minorHAnsi"/>
          <w:lang w:val="fr-FR"/>
        </w:rPr>
        <w:t>.</w:t>
      </w:r>
    </w:p>
    <w:p w14:paraId="70610A88" w14:textId="75BA3087" w:rsidR="00620314" w:rsidRPr="004B31D6" w:rsidRDefault="00AD36C0" w:rsidP="00620314">
      <w:pPr>
        <w:rPr>
          <w:rFonts w:cstheme="minorHAnsi"/>
          <w:lang w:val="fr-FR"/>
        </w:rPr>
      </w:pPr>
      <w:r w:rsidRPr="004B31D6">
        <w:rPr>
          <w:rFonts w:cstheme="minorHAnsi"/>
          <w:lang w:val="fr-FR"/>
        </w:rPr>
        <w:t>Ceci</w:t>
      </w:r>
      <w:r w:rsidR="00585B85" w:rsidRPr="004B31D6">
        <w:rPr>
          <w:rFonts w:cstheme="minorHAnsi"/>
          <w:lang w:val="fr-FR"/>
        </w:rPr>
        <w:t xml:space="preserve"> étant</w:t>
      </w:r>
      <w:r w:rsidRPr="004B31D6">
        <w:rPr>
          <w:rFonts w:cstheme="minorHAnsi"/>
          <w:lang w:val="fr-FR"/>
        </w:rPr>
        <w:t xml:space="preserve"> dit, nous terminerons la présentation par quelques chiffres et faits concernant cette édition du Salon du </w:t>
      </w:r>
      <w:r w:rsidR="00585B85" w:rsidRPr="004B31D6">
        <w:rPr>
          <w:rFonts w:cstheme="minorHAnsi"/>
          <w:lang w:val="fr-FR"/>
        </w:rPr>
        <w:t>M</w:t>
      </w:r>
      <w:r w:rsidRPr="004B31D6">
        <w:rPr>
          <w:rFonts w:cstheme="minorHAnsi"/>
          <w:lang w:val="fr-FR"/>
        </w:rPr>
        <w:t>euble de Bruxelles</w:t>
      </w:r>
      <w:r w:rsidR="00620314" w:rsidRPr="004B31D6">
        <w:rPr>
          <w:rFonts w:cstheme="minorHAnsi"/>
          <w:lang w:val="fr-FR"/>
        </w:rPr>
        <w:t>:</w:t>
      </w:r>
    </w:p>
    <w:p w14:paraId="55DE0375" w14:textId="02E4AD1F" w:rsidR="00620314" w:rsidRPr="004B31D6" w:rsidRDefault="00AD36C0" w:rsidP="00620314">
      <w:pPr>
        <w:pStyle w:val="ListParagraph"/>
        <w:numPr>
          <w:ilvl w:val="0"/>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Statistiques</w:t>
      </w:r>
      <w:r w:rsidR="00B0790D">
        <w:rPr>
          <w:rFonts w:asciiTheme="minorHAnsi" w:hAnsiTheme="minorHAnsi" w:cstheme="minorHAnsi"/>
          <w:sz w:val="22"/>
          <w:szCs w:val="22"/>
          <w:lang w:val="fr-FR"/>
        </w:rPr>
        <w:t> :</w:t>
      </w:r>
    </w:p>
    <w:p w14:paraId="413789AD" w14:textId="4A7C811A" w:rsidR="00620314" w:rsidRPr="004B31D6" w:rsidRDefault="00620314" w:rsidP="00620314">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215 </w:t>
      </w:r>
      <w:r w:rsidR="00AD36C0" w:rsidRPr="004B31D6">
        <w:rPr>
          <w:rFonts w:asciiTheme="minorHAnsi" w:hAnsiTheme="minorHAnsi" w:cstheme="minorHAnsi"/>
          <w:sz w:val="22"/>
          <w:szCs w:val="22"/>
          <w:lang w:val="fr-FR"/>
        </w:rPr>
        <w:t>exposants</w:t>
      </w:r>
    </w:p>
    <w:p w14:paraId="0AA99A73" w14:textId="19D23E54" w:rsidR="00620314" w:rsidRPr="004B31D6" w:rsidRDefault="00620314" w:rsidP="00620314">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10 </w:t>
      </w:r>
      <w:r w:rsidR="00AD36C0" w:rsidRPr="004B31D6">
        <w:rPr>
          <w:rFonts w:asciiTheme="minorHAnsi" w:hAnsiTheme="minorHAnsi" w:cstheme="minorHAnsi"/>
          <w:sz w:val="22"/>
          <w:szCs w:val="22"/>
          <w:lang w:val="fr-FR"/>
        </w:rPr>
        <w:t xml:space="preserve">exposants de plus qu’en 2021 dans le hall de la literie, </w:t>
      </w:r>
      <w:r w:rsidR="00585B85" w:rsidRPr="004B31D6">
        <w:rPr>
          <w:rFonts w:asciiTheme="minorHAnsi" w:hAnsiTheme="minorHAnsi" w:cstheme="minorHAnsi"/>
          <w:sz w:val="22"/>
          <w:szCs w:val="22"/>
          <w:lang w:val="fr-FR"/>
        </w:rPr>
        <w:t xml:space="preserve">palais </w:t>
      </w:r>
      <w:r w:rsidR="00AD36C0" w:rsidRPr="004B31D6">
        <w:rPr>
          <w:rFonts w:asciiTheme="minorHAnsi" w:hAnsiTheme="minorHAnsi" w:cstheme="minorHAnsi"/>
          <w:sz w:val="22"/>
          <w:szCs w:val="22"/>
          <w:lang w:val="fr-FR"/>
        </w:rPr>
        <w:t>6</w:t>
      </w:r>
    </w:p>
    <w:p w14:paraId="2796F722" w14:textId="31ADDB9C" w:rsidR="00620314" w:rsidRPr="004B31D6" w:rsidRDefault="00620314" w:rsidP="00620314">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6800 </w:t>
      </w:r>
      <w:r w:rsidR="00AD36C0" w:rsidRPr="004B31D6">
        <w:rPr>
          <w:rFonts w:asciiTheme="minorHAnsi" w:hAnsiTheme="minorHAnsi" w:cstheme="minorHAnsi"/>
          <w:sz w:val="22"/>
          <w:szCs w:val="22"/>
          <w:lang w:val="fr-FR"/>
        </w:rPr>
        <w:t>mètres carrés</w:t>
      </w:r>
      <w:r w:rsidR="00585B85" w:rsidRPr="004B31D6">
        <w:rPr>
          <w:rFonts w:asciiTheme="minorHAnsi" w:hAnsiTheme="minorHAnsi" w:cstheme="minorHAnsi"/>
          <w:sz w:val="22"/>
          <w:szCs w:val="22"/>
          <w:lang w:val="fr-FR"/>
        </w:rPr>
        <w:t xml:space="preserve"> de</w:t>
      </w:r>
      <w:r w:rsidR="00AD36C0" w:rsidRPr="004B31D6">
        <w:rPr>
          <w:rFonts w:asciiTheme="minorHAnsi" w:hAnsiTheme="minorHAnsi" w:cstheme="minorHAnsi"/>
          <w:sz w:val="22"/>
          <w:szCs w:val="22"/>
          <w:lang w:val="fr-FR"/>
        </w:rPr>
        <w:t xml:space="preserve"> plus qu’en</w:t>
      </w:r>
      <w:r w:rsidRPr="004B31D6">
        <w:rPr>
          <w:rFonts w:asciiTheme="minorHAnsi" w:hAnsiTheme="minorHAnsi" w:cstheme="minorHAnsi"/>
          <w:sz w:val="22"/>
          <w:szCs w:val="22"/>
          <w:lang w:val="fr-FR"/>
        </w:rPr>
        <w:t xml:space="preserve"> 2021</w:t>
      </w:r>
    </w:p>
    <w:p w14:paraId="1943D80A" w14:textId="2D104780" w:rsidR="004C78C0" w:rsidRPr="004B31D6" w:rsidRDefault="00AD36C0" w:rsidP="00620314">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Nationalités</w:t>
      </w:r>
      <w:r w:rsidR="00585B85" w:rsidRPr="004B31D6">
        <w:rPr>
          <w:rFonts w:asciiTheme="minorHAnsi" w:hAnsiTheme="minorHAnsi" w:cstheme="minorHAnsi"/>
          <w:sz w:val="22"/>
          <w:szCs w:val="22"/>
          <w:lang w:val="fr-FR"/>
        </w:rPr>
        <w:t> :</w:t>
      </w:r>
      <w:r w:rsidR="00620314" w:rsidRPr="004B31D6">
        <w:rPr>
          <w:rFonts w:asciiTheme="minorHAnsi" w:hAnsiTheme="minorHAnsi" w:cstheme="minorHAnsi"/>
          <w:sz w:val="22"/>
          <w:szCs w:val="22"/>
          <w:lang w:val="fr-FR"/>
        </w:rPr>
        <w:t xml:space="preserve"> </w:t>
      </w:r>
      <w:r w:rsidRPr="004B31D6">
        <w:rPr>
          <w:rFonts w:asciiTheme="minorHAnsi" w:hAnsiTheme="minorHAnsi" w:cstheme="minorHAnsi"/>
          <w:sz w:val="22"/>
          <w:szCs w:val="22"/>
          <w:lang w:val="fr-FR"/>
        </w:rPr>
        <w:t xml:space="preserve">en ordre alphabétique et par </w:t>
      </w:r>
      <w:r w:rsidR="00585B85" w:rsidRPr="004B31D6">
        <w:rPr>
          <w:rFonts w:asciiTheme="minorHAnsi" w:hAnsiTheme="minorHAnsi" w:cstheme="minorHAnsi"/>
          <w:sz w:val="22"/>
          <w:szCs w:val="22"/>
          <w:lang w:val="fr-FR"/>
        </w:rPr>
        <w:t>nombre</w:t>
      </w:r>
    </w:p>
    <w:p w14:paraId="5AC3B1ED" w14:textId="77777777" w:rsidR="004C78C0" w:rsidRPr="004B31D6" w:rsidRDefault="004C78C0" w:rsidP="004C78C0">
      <w:pPr>
        <w:ind w:left="720"/>
        <w:rPr>
          <w:rFonts w:cstheme="minorHAnsi"/>
          <w:lang w:val="fr-FR"/>
        </w:rPr>
      </w:pPr>
    </w:p>
    <w:tbl>
      <w:tblPr>
        <w:tblW w:w="7840" w:type="dxa"/>
        <w:tblCellMar>
          <w:left w:w="70" w:type="dxa"/>
          <w:right w:w="70" w:type="dxa"/>
        </w:tblCellMar>
        <w:tblLook w:val="04A0" w:firstRow="1" w:lastRow="0" w:firstColumn="1" w:lastColumn="0" w:noHBand="0" w:noVBand="1"/>
      </w:tblPr>
      <w:tblGrid>
        <w:gridCol w:w="2140"/>
        <w:gridCol w:w="1300"/>
        <w:gridCol w:w="960"/>
        <w:gridCol w:w="2140"/>
        <w:gridCol w:w="1300"/>
      </w:tblGrid>
      <w:tr w:rsidR="00605AD8" w:rsidRPr="00B0790D" w14:paraId="291134AD" w14:textId="77777777" w:rsidTr="00605AD8">
        <w:trPr>
          <w:trHeight w:val="259"/>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410E5B" w14:textId="77777777" w:rsidR="00605AD8" w:rsidRPr="004B31D6" w:rsidRDefault="00605AD8" w:rsidP="00605AD8">
            <w:pPr>
              <w:spacing w:after="0" w:line="240" w:lineRule="auto"/>
              <w:rPr>
                <w:rFonts w:ascii="Calibri" w:eastAsia="Times New Roman" w:hAnsi="Calibri" w:cs="Calibri"/>
                <w:b/>
                <w:bCs/>
                <w:color w:val="000000"/>
                <w:sz w:val="20"/>
                <w:szCs w:val="20"/>
                <w:lang w:val="fr-FR" w:eastAsia="fr-BE"/>
              </w:rPr>
            </w:pPr>
            <w:r w:rsidRPr="004B31D6">
              <w:rPr>
                <w:rFonts w:ascii="Calibri" w:eastAsia="Times New Roman" w:hAnsi="Calibri" w:cs="Calibri"/>
                <w:b/>
                <w:bCs/>
                <w:color w:val="000000"/>
                <w:sz w:val="20"/>
                <w:szCs w:val="20"/>
                <w:lang w:val="fr-FR" w:eastAsia="fr-BE"/>
              </w:rPr>
              <w:t xml:space="preserve">Pays d'origine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3AD094FF" w14:textId="6493C361" w:rsidR="00605AD8" w:rsidRPr="004B31D6" w:rsidRDefault="00585B85" w:rsidP="00605AD8">
            <w:pPr>
              <w:spacing w:after="0" w:line="240" w:lineRule="auto"/>
              <w:rPr>
                <w:rFonts w:ascii="Calibri" w:eastAsia="Times New Roman" w:hAnsi="Calibri" w:cs="Calibri"/>
                <w:b/>
                <w:bCs/>
                <w:color w:val="000000"/>
                <w:sz w:val="20"/>
                <w:szCs w:val="20"/>
                <w:lang w:val="fr-FR" w:eastAsia="fr-BE"/>
              </w:rPr>
            </w:pPr>
            <w:r w:rsidRPr="004B31D6">
              <w:rPr>
                <w:rFonts w:ascii="Calibri" w:eastAsia="Times New Roman" w:hAnsi="Calibri" w:cs="Calibri"/>
                <w:b/>
                <w:bCs/>
                <w:color w:val="000000"/>
                <w:sz w:val="20"/>
                <w:szCs w:val="20"/>
                <w:lang w:val="fr-FR" w:eastAsia="fr-BE"/>
              </w:rPr>
              <w:t>Nombre</w:t>
            </w:r>
          </w:p>
        </w:tc>
        <w:tc>
          <w:tcPr>
            <w:tcW w:w="960" w:type="dxa"/>
            <w:tcBorders>
              <w:top w:val="nil"/>
              <w:left w:val="nil"/>
              <w:bottom w:val="nil"/>
              <w:right w:val="nil"/>
            </w:tcBorders>
            <w:shd w:val="clear" w:color="auto" w:fill="auto"/>
            <w:noWrap/>
            <w:vAlign w:val="bottom"/>
            <w:hideMark/>
          </w:tcPr>
          <w:p w14:paraId="6EF0CF9A" w14:textId="77777777" w:rsidR="00605AD8" w:rsidRPr="004B31D6" w:rsidRDefault="00605AD8" w:rsidP="00605AD8">
            <w:pPr>
              <w:spacing w:after="0" w:line="240" w:lineRule="auto"/>
              <w:rPr>
                <w:rFonts w:ascii="Calibri" w:eastAsia="Times New Roman" w:hAnsi="Calibri" w:cs="Calibri"/>
                <w:b/>
                <w:bCs/>
                <w:color w:val="000000"/>
                <w:sz w:val="20"/>
                <w:szCs w:val="20"/>
                <w:lang w:val="fr-FR" w:eastAsia="fr-BE"/>
              </w:rPr>
            </w:pPr>
          </w:p>
        </w:tc>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594666" w14:textId="77777777" w:rsidR="00605AD8" w:rsidRPr="004B31D6" w:rsidRDefault="00605AD8" w:rsidP="00605AD8">
            <w:pPr>
              <w:spacing w:after="0" w:line="240" w:lineRule="auto"/>
              <w:rPr>
                <w:rFonts w:ascii="Calibri" w:eastAsia="Times New Roman" w:hAnsi="Calibri" w:cs="Calibri"/>
                <w:b/>
                <w:bCs/>
                <w:color w:val="000000"/>
                <w:sz w:val="20"/>
                <w:szCs w:val="20"/>
                <w:lang w:val="fr-FR" w:eastAsia="fr-BE"/>
              </w:rPr>
            </w:pPr>
            <w:r w:rsidRPr="004B31D6">
              <w:rPr>
                <w:rFonts w:ascii="Calibri" w:eastAsia="Times New Roman" w:hAnsi="Calibri" w:cs="Calibri"/>
                <w:b/>
                <w:bCs/>
                <w:color w:val="000000"/>
                <w:sz w:val="20"/>
                <w:szCs w:val="20"/>
                <w:lang w:val="fr-FR" w:eastAsia="fr-BE"/>
              </w:rPr>
              <w:t xml:space="preserve">Pays d'origine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6EE8FD9" w14:textId="13BB3DD4" w:rsidR="00605AD8" w:rsidRPr="004B31D6" w:rsidRDefault="00585B85" w:rsidP="00605AD8">
            <w:pPr>
              <w:spacing w:after="0" w:line="240" w:lineRule="auto"/>
              <w:rPr>
                <w:rFonts w:ascii="Calibri" w:eastAsia="Times New Roman" w:hAnsi="Calibri" w:cs="Calibri"/>
                <w:b/>
                <w:bCs/>
                <w:color w:val="000000"/>
                <w:sz w:val="20"/>
                <w:szCs w:val="20"/>
                <w:lang w:val="fr-FR" w:eastAsia="fr-BE"/>
              </w:rPr>
            </w:pPr>
            <w:r w:rsidRPr="004B31D6">
              <w:rPr>
                <w:rFonts w:ascii="Calibri" w:eastAsia="Times New Roman" w:hAnsi="Calibri" w:cs="Calibri"/>
                <w:b/>
                <w:bCs/>
                <w:color w:val="000000"/>
                <w:sz w:val="20"/>
                <w:szCs w:val="20"/>
                <w:lang w:val="fr-FR" w:eastAsia="fr-BE"/>
              </w:rPr>
              <w:t>Nombre</w:t>
            </w:r>
          </w:p>
        </w:tc>
      </w:tr>
      <w:tr w:rsidR="00605AD8" w:rsidRPr="00B0790D" w14:paraId="1D23B029"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141E9735"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Albanie</w:t>
            </w:r>
          </w:p>
        </w:tc>
        <w:tc>
          <w:tcPr>
            <w:tcW w:w="1300" w:type="dxa"/>
            <w:tcBorders>
              <w:top w:val="nil"/>
              <w:left w:val="nil"/>
              <w:bottom w:val="single" w:sz="4" w:space="0" w:color="auto"/>
              <w:right w:val="single" w:sz="8" w:space="0" w:color="auto"/>
            </w:tcBorders>
            <w:shd w:val="clear" w:color="auto" w:fill="auto"/>
            <w:noWrap/>
            <w:vAlign w:val="center"/>
            <w:hideMark/>
          </w:tcPr>
          <w:p w14:paraId="749B953B"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w:t>
            </w:r>
          </w:p>
        </w:tc>
        <w:tc>
          <w:tcPr>
            <w:tcW w:w="960" w:type="dxa"/>
            <w:tcBorders>
              <w:top w:val="nil"/>
              <w:left w:val="nil"/>
              <w:bottom w:val="nil"/>
              <w:right w:val="nil"/>
            </w:tcBorders>
            <w:shd w:val="clear" w:color="auto" w:fill="auto"/>
            <w:noWrap/>
            <w:vAlign w:val="bottom"/>
            <w:hideMark/>
          </w:tcPr>
          <w:p w14:paraId="0FB8F57E"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5AE9C65"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Belgique</w:t>
            </w:r>
          </w:p>
        </w:tc>
        <w:tc>
          <w:tcPr>
            <w:tcW w:w="1300" w:type="dxa"/>
            <w:tcBorders>
              <w:top w:val="nil"/>
              <w:left w:val="nil"/>
              <w:bottom w:val="single" w:sz="4" w:space="0" w:color="auto"/>
              <w:right w:val="single" w:sz="8" w:space="0" w:color="auto"/>
            </w:tcBorders>
            <w:shd w:val="clear" w:color="auto" w:fill="auto"/>
            <w:noWrap/>
            <w:vAlign w:val="center"/>
            <w:hideMark/>
          </w:tcPr>
          <w:p w14:paraId="56B29C51"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69</w:t>
            </w:r>
          </w:p>
        </w:tc>
      </w:tr>
      <w:tr w:rsidR="00605AD8" w:rsidRPr="00B0790D" w14:paraId="5CEB2E4C"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D29DB79"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Allemagne</w:t>
            </w:r>
          </w:p>
        </w:tc>
        <w:tc>
          <w:tcPr>
            <w:tcW w:w="1300" w:type="dxa"/>
            <w:tcBorders>
              <w:top w:val="nil"/>
              <w:left w:val="nil"/>
              <w:bottom w:val="single" w:sz="4" w:space="0" w:color="auto"/>
              <w:right w:val="single" w:sz="8" w:space="0" w:color="auto"/>
            </w:tcBorders>
            <w:shd w:val="clear" w:color="auto" w:fill="auto"/>
            <w:noWrap/>
            <w:vAlign w:val="center"/>
            <w:hideMark/>
          </w:tcPr>
          <w:p w14:paraId="49D5B535" w14:textId="40BE4071" w:rsidR="00605AD8" w:rsidRPr="004B31D6" w:rsidRDefault="00E51821"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17</w:t>
            </w:r>
          </w:p>
        </w:tc>
        <w:tc>
          <w:tcPr>
            <w:tcW w:w="960" w:type="dxa"/>
            <w:tcBorders>
              <w:top w:val="nil"/>
              <w:left w:val="nil"/>
              <w:bottom w:val="nil"/>
              <w:right w:val="nil"/>
            </w:tcBorders>
            <w:shd w:val="clear" w:color="auto" w:fill="auto"/>
            <w:noWrap/>
            <w:vAlign w:val="bottom"/>
            <w:hideMark/>
          </w:tcPr>
          <w:p w14:paraId="26957CA9"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FDC2108"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Pays-Bas</w:t>
            </w:r>
          </w:p>
        </w:tc>
        <w:tc>
          <w:tcPr>
            <w:tcW w:w="1300" w:type="dxa"/>
            <w:tcBorders>
              <w:top w:val="nil"/>
              <w:left w:val="nil"/>
              <w:bottom w:val="single" w:sz="4" w:space="0" w:color="auto"/>
              <w:right w:val="single" w:sz="8" w:space="0" w:color="auto"/>
            </w:tcBorders>
            <w:shd w:val="clear" w:color="auto" w:fill="auto"/>
            <w:noWrap/>
            <w:vAlign w:val="center"/>
            <w:hideMark/>
          </w:tcPr>
          <w:p w14:paraId="4AEC0E3E"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68</w:t>
            </w:r>
          </w:p>
        </w:tc>
      </w:tr>
      <w:tr w:rsidR="00605AD8" w:rsidRPr="00B0790D" w14:paraId="52C1DC5A"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55C0847"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Autriche</w:t>
            </w:r>
          </w:p>
        </w:tc>
        <w:tc>
          <w:tcPr>
            <w:tcW w:w="1300" w:type="dxa"/>
            <w:tcBorders>
              <w:top w:val="nil"/>
              <w:left w:val="nil"/>
              <w:bottom w:val="single" w:sz="4" w:space="0" w:color="auto"/>
              <w:right w:val="single" w:sz="8" w:space="0" w:color="auto"/>
            </w:tcBorders>
            <w:shd w:val="clear" w:color="auto" w:fill="auto"/>
            <w:noWrap/>
            <w:vAlign w:val="center"/>
            <w:hideMark/>
          </w:tcPr>
          <w:p w14:paraId="76B6707E" w14:textId="6C2B5AAB" w:rsidR="00605AD8" w:rsidRPr="004B31D6" w:rsidRDefault="00E51821"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2</w:t>
            </w:r>
          </w:p>
        </w:tc>
        <w:tc>
          <w:tcPr>
            <w:tcW w:w="960" w:type="dxa"/>
            <w:tcBorders>
              <w:top w:val="nil"/>
              <w:left w:val="nil"/>
              <w:bottom w:val="nil"/>
              <w:right w:val="nil"/>
            </w:tcBorders>
            <w:shd w:val="clear" w:color="auto" w:fill="auto"/>
            <w:noWrap/>
            <w:vAlign w:val="bottom"/>
            <w:hideMark/>
          </w:tcPr>
          <w:p w14:paraId="500696C5"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7D2ED4B"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Allemagne</w:t>
            </w:r>
          </w:p>
        </w:tc>
        <w:tc>
          <w:tcPr>
            <w:tcW w:w="1300" w:type="dxa"/>
            <w:tcBorders>
              <w:top w:val="nil"/>
              <w:left w:val="nil"/>
              <w:bottom w:val="single" w:sz="4" w:space="0" w:color="auto"/>
              <w:right w:val="single" w:sz="8" w:space="0" w:color="auto"/>
            </w:tcBorders>
            <w:shd w:val="clear" w:color="auto" w:fill="auto"/>
            <w:noWrap/>
            <w:vAlign w:val="center"/>
            <w:hideMark/>
          </w:tcPr>
          <w:p w14:paraId="61E61509"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17</w:t>
            </w:r>
          </w:p>
        </w:tc>
      </w:tr>
      <w:tr w:rsidR="00605AD8" w:rsidRPr="00B0790D" w14:paraId="25E01FEB"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22F399D"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Belgique</w:t>
            </w:r>
          </w:p>
        </w:tc>
        <w:tc>
          <w:tcPr>
            <w:tcW w:w="1300" w:type="dxa"/>
            <w:tcBorders>
              <w:top w:val="nil"/>
              <w:left w:val="nil"/>
              <w:bottom w:val="single" w:sz="4" w:space="0" w:color="auto"/>
              <w:right w:val="single" w:sz="8" w:space="0" w:color="auto"/>
            </w:tcBorders>
            <w:shd w:val="clear" w:color="auto" w:fill="auto"/>
            <w:noWrap/>
            <w:vAlign w:val="center"/>
            <w:hideMark/>
          </w:tcPr>
          <w:p w14:paraId="18C242D5" w14:textId="4CDD1CC1" w:rsidR="00605AD8" w:rsidRPr="004B31D6" w:rsidRDefault="00E51821"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69</w:t>
            </w:r>
          </w:p>
        </w:tc>
        <w:tc>
          <w:tcPr>
            <w:tcW w:w="960" w:type="dxa"/>
            <w:tcBorders>
              <w:top w:val="nil"/>
              <w:left w:val="nil"/>
              <w:bottom w:val="nil"/>
              <w:right w:val="nil"/>
            </w:tcBorders>
            <w:shd w:val="clear" w:color="auto" w:fill="auto"/>
            <w:noWrap/>
            <w:vAlign w:val="bottom"/>
            <w:hideMark/>
          </w:tcPr>
          <w:p w14:paraId="6F8AB686"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7892805"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Pologne</w:t>
            </w:r>
          </w:p>
        </w:tc>
        <w:tc>
          <w:tcPr>
            <w:tcW w:w="1300" w:type="dxa"/>
            <w:tcBorders>
              <w:top w:val="nil"/>
              <w:left w:val="nil"/>
              <w:bottom w:val="single" w:sz="4" w:space="0" w:color="auto"/>
              <w:right w:val="single" w:sz="8" w:space="0" w:color="auto"/>
            </w:tcBorders>
            <w:shd w:val="clear" w:color="auto" w:fill="auto"/>
            <w:noWrap/>
            <w:vAlign w:val="center"/>
            <w:hideMark/>
          </w:tcPr>
          <w:p w14:paraId="23D10CAD"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15</w:t>
            </w:r>
          </w:p>
        </w:tc>
      </w:tr>
      <w:tr w:rsidR="00605AD8" w:rsidRPr="00B0790D" w14:paraId="649C0FC2"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2353066" w14:textId="113F9C79" w:rsidR="00605AD8" w:rsidRPr="004B31D6" w:rsidRDefault="00585B85"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Bosnie-Herzégovine</w:t>
            </w:r>
          </w:p>
        </w:tc>
        <w:tc>
          <w:tcPr>
            <w:tcW w:w="1300" w:type="dxa"/>
            <w:tcBorders>
              <w:top w:val="nil"/>
              <w:left w:val="nil"/>
              <w:bottom w:val="single" w:sz="4" w:space="0" w:color="auto"/>
              <w:right w:val="single" w:sz="8" w:space="0" w:color="auto"/>
            </w:tcBorders>
            <w:shd w:val="clear" w:color="auto" w:fill="auto"/>
            <w:noWrap/>
            <w:vAlign w:val="center"/>
            <w:hideMark/>
          </w:tcPr>
          <w:p w14:paraId="6D8E6B1B" w14:textId="4406BA5A"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1</w:t>
            </w:r>
          </w:p>
        </w:tc>
        <w:tc>
          <w:tcPr>
            <w:tcW w:w="960" w:type="dxa"/>
            <w:tcBorders>
              <w:top w:val="nil"/>
              <w:left w:val="nil"/>
              <w:bottom w:val="nil"/>
              <w:right w:val="nil"/>
            </w:tcBorders>
            <w:shd w:val="clear" w:color="auto" w:fill="auto"/>
            <w:noWrap/>
            <w:vAlign w:val="bottom"/>
            <w:hideMark/>
          </w:tcPr>
          <w:p w14:paraId="0BAFD18A"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3064FCE"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Italie</w:t>
            </w:r>
          </w:p>
        </w:tc>
        <w:tc>
          <w:tcPr>
            <w:tcW w:w="1300" w:type="dxa"/>
            <w:tcBorders>
              <w:top w:val="nil"/>
              <w:left w:val="nil"/>
              <w:bottom w:val="single" w:sz="4" w:space="0" w:color="auto"/>
              <w:right w:val="single" w:sz="8" w:space="0" w:color="auto"/>
            </w:tcBorders>
            <w:shd w:val="clear" w:color="auto" w:fill="auto"/>
            <w:noWrap/>
            <w:vAlign w:val="center"/>
            <w:hideMark/>
          </w:tcPr>
          <w:p w14:paraId="54308646"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11</w:t>
            </w:r>
          </w:p>
        </w:tc>
      </w:tr>
      <w:tr w:rsidR="00605AD8" w:rsidRPr="00B0790D" w14:paraId="4B89B1C2"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521567A2"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Bulgarie</w:t>
            </w:r>
          </w:p>
        </w:tc>
        <w:tc>
          <w:tcPr>
            <w:tcW w:w="1300" w:type="dxa"/>
            <w:tcBorders>
              <w:top w:val="nil"/>
              <w:left w:val="nil"/>
              <w:bottom w:val="single" w:sz="4" w:space="0" w:color="auto"/>
              <w:right w:val="single" w:sz="8" w:space="0" w:color="auto"/>
            </w:tcBorders>
            <w:shd w:val="clear" w:color="auto" w:fill="auto"/>
            <w:noWrap/>
            <w:vAlign w:val="center"/>
            <w:hideMark/>
          </w:tcPr>
          <w:p w14:paraId="1A3589BF" w14:textId="5CE4C8DF"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1</w:t>
            </w:r>
          </w:p>
        </w:tc>
        <w:tc>
          <w:tcPr>
            <w:tcW w:w="960" w:type="dxa"/>
            <w:tcBorders>
              <w:top w:val="nil"/>
              <w:left w:val="nil"/>
              <w:bottom w:val="nil"/>
              <w:right w:val="nil"/>
            </w:tcBorders>
            <w:shd w:val="clear" w:color="auto" w:fill="auto"/>
            <w:noWrap/>
            <w:vAlign w:val="bottom"/>
            <w:hideMark/>
          </w:tcPr>
          <w:p w14:paraId="12F21A57"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CE926B0"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France</w:t>
            </w:r>
          </w:p>
        </w:tc>
        <w:tc>
          <w:tcPr>
            <w:tcW w:w="1300" w:type="dxa"/>
            <w:tcBorders>
              <w:top w:val="nil"/>
              <w:left w:val="nil"/>
              <w:bottom w:val="single" w:sz="4" w:space="0" w:color="auto"/>
              <w:right w:val="single" w:sz="8" w:space="0" w:color="auto"/>
            </w:tcBorders>
            <w:shd w:val="clear" w:color="auto" w:fill="auto"/>
            <w:noWrap/>
            <w:vAlign w:val="center"/>
            <w:hideMark/>
          </w:tcPr>
          <w:p w14:paraId="477E18C9"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6</w:t>
            </w:r>
          </w:p>
        </w:tc>
      </w:tr>
      <w:tr w:rsidR="00605AD8" w:rsidRPr="00B0790D" w14:paraId="66895FC9"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C75380A"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Danemark</w:t>
            </w:r>
          </w:p>
        </w:tc>
        <w:tc>
          <w:tcPr>
            <w:tcW w:w="1300" w:type="dxa"/>
            <w:tcBorders>
              <w:top w:val="nil"/>
              <w:left w:val="nil"/>
              <w:bottom w:val="single" w:sz="4" w:space="0" w:color="auto"/>
              <w:right w:val="single" w:sz="8" w:space="0" w:color="auto"/>
            </w:tcBorders>
            <w:shd w:val="clear" w:color="auto" w:fill="auto"/>
            <w:noWrap/>
            <w:vAlign w:val="center"/>
            <w:hideMark/>
          </w:tcPr>
          <w:p w14:paraId="37F3CC4C" w14:textId="68C4B436"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4</w:t>
            </w:r>
          </w:p>
        </w:tc>
        <w:tc>
          <w:tcPr>
            <w:tcW w:w="960" w:type="dxa"/>
            <w:tcBorders>
              <w:top w:val="nil"/>
              <w:left w:val="nil"/>
              <w:bottom w:val="nil"/>
              <w:right w:val="nil"/>
            </w:tcBorders>
            <w:shd w:val="clear" w:color="auto" w:fill="auto"/>
            <w:noWrap/>
            <w:vAlign w:val="center"/>
            <w:hideMark/>
          </w:tcPr>
          <w:p w14:paraId="1EF15268"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AF32E9C"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Lituanie</w:t>
            </w:r>
          </w:p>
        </w:tc>
        <w:tc>
          <w:tcPr>
            <w:tcW w:w="1300" w:type="dxa"/>
            <w:tcBorders>
              <w:top w:val="nil"/>
              <w:left w:val="nil"/>
              <w:bottom w:val="single" w:sz="4" w:space="0" w:color="auto"/>
              <w:right w:val="single" w:sz="8" w:space="0" w:color="auto"/>
            </w:tcBorders>
            <w:shd w:val="clear" w:color="auto" w:fill="auto"/>
            <w:noWrap/>
            <w:vAlign w:val="center"/>
            <w:hideMark/>
          </w:tcPr>
          <w:p w14:paraId="4E4FCD72"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5</w:t>
            </w:r>
          </w:p>
        </w:tc>
      </w:tr>
      <w:tr w:rsidR="00605AD8" w:rsidRPr="00B0790D" w14:paraId="758F3536"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F2C85E6"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France</w:t>
            </w:r>
          </w:p>
        </w:tc>
        <w:tc>
          <w:tcPr>
            <w:tcW w:w="1300" w:type="dxa"/>
            <w:tcBorders>
              <w:top w:val="nil"/>
              <w:left w:val="nil"/>
              <w:bottom w:val="single" w:sz="4" w:space="0" w:color="auto"/>
              <w:right w:val="single" w:sz="8" w:space="0" w:color="auto"/>
            </w:tcBorders>
            <w:shd w:val="clear" w:color="auto" w:fill="auto"/>
            <w:noWrap/>
            <w:vAlign w:val="center"/>
            <w:hideMark/>
          </w:tcPr>
          <w:p w14:paraId="2A19A744" w14:textId="4859ABF5"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6</w:t>
            </w:r>
          </w:p>
        </w:tc>
        <w:tc>
          <w:tcPr>
            <w:tcW w:w="960" w:type="dxa"/>
            <w:tcBorders>
              <w:top w:val="nil"/>
              <w:left w:val="nil"/>
              <w:bottom w:val="nil"/>
              <w:right w:val="nil"/>
            </w:tcBorders>
            <w:shd w:val="clear" w:color="auto" w:fill="auto"/>
            <w:noWrap/>
            <w:vAlign w:val="bottom"/>
            <w:hideMark/>
          </w:tcPr>
          <w:p w14:paraId="3532A5F5"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3158211"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Danemark</w:t>
            </w:r>
          </w:p>
        </w:tc>
        <w:tc>
          <w:tcPr>
            <w:tcW w:w="1300" w:type="dxa"/>
            <w:tcBorders>
              <w:top w:val="nil"/>
              <w:left w:val="nil"/>
              <w:bottom w:val="single" w:sz="4" w:space="0" w:color="auto"/>
              <w:right w:val="single" w:sz="8" w:space="0" w:color="auto"/>
            </w:tcBorders>
            <w:shd w:val="clear" w:color="auto" w:fill="auto"/>
            <w:noWrap/>
            <w:vAlign w:val="center"/>
            <w:hideMark/>
          </w:tcPr>
          <w:p w14:paraId="1B2BACC1"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4</w:t>
            </w:r>
          </w:p>
        </w:tc>
      </w:tr>
      <w:tr w:rsidR="00605AD8" w:rsidRPr="00B0790D" w14:paraId="04631ED2"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11F9554D"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Italie</w:t>
            </w:r>
          </w:p>
        </w:tc>
        <w:tc>
          <w:tcPr>
            <w:tcW w:w="1300" w:type="dxa"/>
            <w:tcBorders>
              <w:top w:val="nil"/>
              <w:left w:val="nil"/>
              <w:bottom w:val="single" w:sz="4" w:space="0" w:color="auto"/>
              <w:right w:val="single" w:sz="8" w:space="0" w:color="auto"/>
            </w:tcBorders>
            <w:shd w:val="clear" w:color="auto" w:fill="auto"/>
            <w:noWrap/>
            <w:vAlign w:val="center"/>
            <w:hideMark/>
          </w:tcPr>
          <w:p w14:paraId="254A280B" w14:textId="3DD13285"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11</w:t>
            </w:r>
          </w:p>
        </w:tc>
        <w:tc>
          <w:tcPr>
            <w:tcW w:w="960" w:type="dxa"/>
            <w:tcBorders>
              <w:top w:val="nil"/>
              <w:left w:val="nil"/>
              <w:bottom w:val="nil"/>
              <w:right w:val="nil"/>
            </w:tcBorders>
            <w:shd w:val="clear" w:color="auto" w:fill="auto"/>
            <w:noWrap/>
            <w:vAlign w:val="bottom"/>
            <w:hideMark/>
          </w:tcPr>
          <w:p w14:paraId="28EEE2E6"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F834E2B"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Suède</w:t>
            </w:r>
          </w:p>
        </w:tc>
        <w:tc>
          <w:tcPr>
            <w:tcW w:w="1300" w:type="dxa"/>
            <w:tcBorders>
              <w:top w:val="nil"/>
              <w:left w:val="nil"/>
              <w:bottom w:val="single" w:sz="4" w:space="0" w:color="auto"/>
              <w:right w:val="single" w:sz="8" w:space="0" w:color="auto"/>
            </w:tcBorders>
            <w:shd w:val="clear" w:color="auto" w:fill="auto"/>
            <w:noWrap/>
            <w:vAlign w:val="center"/>
            <w:hideMark/>
          </w:tcPr>
          <w:p w14:paraId="1B5AC5CE"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4</w:t>
            </w:r>
          </w:p>
        </w:tc>
      </w:tr>
      <w:tr w:rsidR="00605AD8" w:rsidRPr="00B0790D" w14:paraId="65E851A9"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9A20D7E"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Lituanie</w:t>
            </w:r>
          </w:p>
        </w:tc>
        <w:tc>
          <w:tcPr>
            <w:tcW w:w="1300" w:type="dxa"/>
            <w:tcBorders>
              <w:top w:val="nil"/>
              <w:left w:val="nil"/>
              <w:bottom w:val="single" w:sz="4" w:space="0" w:color="auto"/>
              <w:right w:val="single" w:sz="8" w:space="0" w:color="auto"/>
            </w:tcBorders>
            <w:shd w:val="clear" w:color="auto" w:fill="auto"/>
            <w:noWrap/>
            <w:vAlign w:val="center"/>
            <w:hideMark/>
          </w:tcPr>
          <w:p w14:paraId="08EC8540" w14:textId="5409E279"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5</w:t>
            </w:r>
          </w:p>
        </w:tc>
        <w:tc>
          <w:tcPr>
            <w:tcW w:w="960" w:type="dxa"/>
            <w:tcBorders>
              <w:top w:val="nil"/>
              <w:left w:val="nil"/>
              <w:bottom w:val="nil"/>
              <w:right w:val="nil"/>
            </w:tcBorders>
            <w:shd w:val="clear" w:color="auto" w:fill="auto"/>
            <w:noWrap/>
            <w:vAlign w:val="bottom"/>
            <w:hideMark/>
          </w:tcPr>
          <w:p w14:paraId="74C09FFE"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1CC6D8E0"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Turquie</w:t>
            </w:r>
          </w:p>
        </w:tc>
        <w:tc>
          <w:tcPr>
            <w:tcW w:w="1300" w:type="dxa"/>
            <w:tcBorders>
              <w:top w:val="nil"/>
              <w:left w:val="nil"/>
              <w:bottom w:val="single" w:sz="4" w:space="0" w:color="auto"/>
              <w:right w:val="single" w:sz="8" w:space="0" w:color="auto"/>
            </w:tcBorders>
            <w:shd w:val="clear" w:color="auto" w:fill="auto"/>
            <w:noWrap/>
            <w:vAlign w:val="center"/>
            <w:hideMark/>
          </w:tcPr>
          <w:p w14:paraId="137AB7C2"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4</w:t>
            </w:r>
          </w:p>
        </w:tc>
      </w:tr>
      <w:tr w:rsidR="00605AD8" w:rsidRPr="00B0790D" w14:paraId="3A1F0285"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1C91A57A"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Pays-Bas</w:t>
            </w:r>
          </w:p>
        </w:tc>
        <w:tc>
          <w:tcPr>
            <w:tcW w:w="1300" w:type="dxa"/>
            <w:tcBorders>
              <w:top w:val="nil"/>
              <w:left w:val="nil"/>
              <w:bottom w:val="single" w:sz="4" w:space="0" w:color="auto"/>
              <w:right w:val="single" w:sz="8" w:space="0" w:color="auto"/>
            </w:tcBorders>
            <w:shd w:val="clear" w:color="auto" w:fill="auto"/>
            <w:noWrap/>
            <w:vAlign w:val="center"/>
            <w:hideMark/>
          </w:tcPr>
          <w:p w14:paraId="1A85EE13" w14:textId="4814BDEE"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68</w:t>
            </w:r>
          </w:p>
        </w:tc>
        <w:tc>
          <w:tcPr>
            <w:tcW w:w="960" w:type="dxa"/>
            <w:tcBorders>
              <w:top w:val="nil"/>
              <w:left w:val="nil"/>
              <w:bottom w:val="nil"/>
              <w:right w:val="nil"/>
            </w:tcBorders>
            <w:shd w:val="clear" w:color="auto" w:fill="auto"/>
            <w:noWrap/>
            <w:vAlign w:val="bottom"/>
            <w:hideMark/>
          </w:tcPr>
          <w:p w14:paraId="1F0AFD96"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03AF1D31"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Portugal</w:t>
            </w:r>
          </w:p>
        </w:tc>
        <w:tc>
          <w:tcPr>
            <w:tcW w:w="1300" w:type="dxa"/>
            <w:tcBorders>
              <w:top w:val="nil"/>
              <w:left w:val="nil"/>
              <w:bottom w:val="single" w:sz="4" w:space="0" w:color="auto"/>
              <w:right w:val="single" w:sz="8" w:space="0" w:color="auto"/>
            </w:tcBorders>
            <w:shd w:val="clear" w:color="auto" w:fill="auto"/>
            <w:noWrap/>
            <w:vAlign w:val="center"/>
            <w:hideMark/>
          </w:tcPr>
          <w:p w14:paraId="6FFF8F07"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3</w:t>
            </w:r>
          </w:p>
        </w:tc>
      </w:tr>
      <w:tr w:rsidR="00605AD8" w:rsidRPr="00B0790D" w14:paraId="64DFF79C"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52B06F46"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Pologne</w:t>
            </w:r>
          </w:p>
        </w:tc>
        <w:tc>
          <w:tcPr>
            <w:tcW w:w="1300" w:type="dxa"/>
            <w:tcBorders>
              <w:top w:val="nil"/>
              <w:left w:val="nil"/>
              <w:bottom w:val="single" w:sz="4" w:space="0" w:color="auto"/>
              <w:right w:val="single" w:sz="8" w:space="0" w:color="auto"/>
            </w:tcBorders>
            <w:shd w:val="clear" w:color="auto" w:fill="auto"/>
            <w:noWrap/>
            <w:vAlign w:val="center"/>
            <w:hideMark/>
          </w:tcPr>
          <w:p w14:paraId="55A9AACB"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15</w:t>
            </w:r>
          </w:p>
        </w:tc>
        <w:tc>
          <w:tcPr>
            <w:tcW w:w="960" w:type="dxa"/>
            <w:tcBorders>
              <w:top w:val="nil"/>
              <w:left w:val="nil"/>
              <w:bottom w:val="nil"/>
              <w:right w:val="nil"/>
            </w:tcBorders>
            <w:shd w:val="clear" w:color="auto" w:fill="auto"/>
            <w:noWrap/>
            <w:vAlign w:val="bottom"/>
            <w:hideMark/>
          </w:tcPr>
          <w:p w14:paraId="690A09D5"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1281349"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Autriche</w:t>
            </w:r>
          </w:p>
        </w:tc>
        <w:tc>
          <w:tcPr>
            <w:tcW w:w="1300" w:type="dxa"/>
            <w:tcBorders>
              <w:top w:val="nil"/>
              <w:left w:val="nil"/>
              <w:bottom w:val="single" w:sz="4" w:space="0" w:color="auto"/>
              <w:right w:val="single" w:sz="8" w:space="0" w:color="auto"/>
            </w:tcBorders>
            <w:shd w:val="clear" w:color="auto" w:fill="auto"/>
            <w:noWrap/>
            <w:vAlign w:val="center"/>
            <w:hideMark/>
          </w:tcPr>
          <w:p w14:paraId="3978A85E"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2</w:t>
            </w:r>
          </w:p>
        </w:tc>
      </w:tr>
      <w:tr w:rsidR="00605AD8" w:rsidRPr="00B0790D" w14:paraId="0A3ECEED"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F2B173A"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Portugal</w:t>
            </w:r>
          </w:p>
        </w:tc>
        <w:tc>
          <w:tcPr>
            <w:tcW w:w="1300" w:type="dxa"/>
            <w:tcBorders>
              <w:top w:val="nil"/>
              <w:left w:val="nil"/>
              <w:bottom w:val="single" w:sz="4" w:space="0" w:color="auto"/>
              <w:right w:val="single" w:sz="8" w:space="0" w:color="auto"/>
            </w:tcBorders>
            <w:shd w:val="clear" w:color="auto" w:fill="auto"/>
            <w:noWrap/>
            <w:vAlign w:val="center"/>
            <w:hideMark/>
          </w:tcPr>
          <w:p w14:paraId="3326FA11"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3</w:t>
            </w:r>
          </w:p>
        </w:tc>
        <w:tc>
          <w:tcPr>
            <w:tcW w:w="960" w:type="dxa"/>
            <w:tcBorders>
              <w:top w:val="nil"/>
              <w:left w:val="nil"/>
              <w:bottom w:val="nil"/>
              <w:right w:val="nil"/>
            </w:tcBorders>
            <w:shd w:val="clear" w:color="auto" w:fill="auto"/>
            <w:noWrap/>
            <w:vAlign w:val="center"/>
            <w:hideMark/>
          </w:tcPr>
          <w:p w14:paraId="79542A86"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2CF05A68" w14:textId="5062991C" w:rsidR="00605AD8" w:rsidRPr="004B31D6" w:rsidRDefault="00605AD8" w:rsidP="00B0790D">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Singapo</w:t>
            </w:r>
            <w:r w:rsidR="00F91E56" w:rsidRPr="004B31D6">
              <w:rPr>
                <w:rFonts w:ascii="Calibri" w:eastAsia="Times New Roman" w:hAnsi="Calibri" w:cs="Calibri"/>
                <w:color w:val="000000"/>
                <w:sz w:val="20"/>
                <w:szCs w:val="20"/>
                <w:lang w:val="fr-FR" w:eastAsia="fr-BE"/>
              </w:rPr>
              <w:t>u</w:t>
            </w:r>
            <w:r w:rsidRPr="004B31D6">
              <w:rPr>
                <w:rFonts w:ascii="Calibri" w:eastAsia="Times New Roman" w:hAnsi="Calibri" w:cs="Calibri"/>
                <w:color w:val="000000"/>
                <w:sz w:val="20"/>
                <w:szCs w:val="20"/>
                <w:lang w:val="fr-FR" w:eastAsia="fr-BE"/>
              </w:rPr>
              <w:t>r</w:t>
            </w:r>
          </w:p>
        </w:tc>
        <w:tc>
          <w:tcPr>
            <w:tcW w:w="1300" w:type="dxa"/>
            <w:tcBorders>
              <w:top w:val="nil"/>
              <w:left w:val="nil"/>
              <w:bottom w:val="single" w:sz="4" w:space="0" w:color="auto"/>
              <w:right w:val="single" w:sz="8" w:space="0" w:color="auto"/>
            </w:tcBorders>
            <w:shd w:val="clear" w:color="auto" w:fill="auto"/>
            <w:noWrap/>
            <w:vAlign w:val="center"/>
            <w:hideMark/>
          </w:tcPr>
          <w:p w14:paraId="1BC907D9"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2</w:t>
            </w:r>
          </w:p>
        </w:tc>
      </w:tr>
      <w:tr w:rsidR="00605AD8" w:rsidRPr="00B0790D" w14:paraId="1C3FA2E7"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6950B54"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Roumanie</w:t>
            </w:r>
          </w:p>
        </w:tc>
        <w:tc>
          <w:tcPr>
            <w:tcW w:w="1300" w:type="dxa"/>
            <w:tcBorders>
              <w:top w:val="nil"/>
              <w:left w:val="nil"/>
              <w:bottom w:val="single" w:sz="4" w:space="0" w:color="auto"/>
              <w:right w:val="single" w:sz="8" w:space="0" w:color="auto"/>
            </w:tcBorders>
            <w:shd w:val="clear" w:color="auto" w:fill="auto"/>
            <w:noWrap/>
            <w:vAlign w:val="center"/>
            <w:hideMark/>
          </w:tcPr>
          <w:p w14:paraId="3EE055F4"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w:t>
            </w:r>
          </w:p>
        </w:tc>
        <w:tc>
          <w:tcPr>
            <w:tcW w:w="960" w:type="dxa"/>
            <w:tcBorders>
              <w:top w:val="nil"/>
              <w:left w:val="nil"/>
              <w:bottom w:val="nil"/>
              <w:right w:val="nil"/>
            </w:tcBorders>
            <w:shd w:val="clear" w:color="auto" w:fill="auto"/>
            <w:noWrap/>
            <w:vAlign w:val="bottom"/>
            <w:hideMark/>
          </w:tcPr>
          <w:p w14:paraId="3F4E5393"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AE8F164"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Albanie</w:t>
            </w:r>
          </w:p>
        </w:tc>
        <w:tc>
          <w:tcPr>
            <w:tcW w:w="1300" w:type="dxa"/>
            <w:tcBorders>
              <w:top w:val="nil"/>
              <w:left w:val="nil"/>
              <w:bottom w:val="single" w:sz="4" w:space="0" w:color="auto"/>
              <w:right w:val="single" w:sz="8" w:space="0" w:color="auto"/>
            </w:tcBorders>
            <w:shd w:val="clear" w:color="auto" w:fill="auto"/>
            <w:noWrap/>
            <w:vAlign w:val="center"/>
            <w:hideMark/>
          </w:tcPr>
          <w:p w14:paraId="15814BA5"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w:t>
            </w:r>
          </w:p>
        </w:tc>
      </w:tr>
      <w:tr w:rsidR="00605AD8" w:rsidRPr="00B0790D" w14:paraId="726D7B13"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505946F7"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Royaume-Uni</w:t>
            </w:r>
          </w:p>
        </w:tc>
        <w:tc>
          <w:tcPr>
            <w:tcW w:w="1300" w:type="dxa"/>
            <w:tcBorders>
              <w:top w:val="nil"/>
              <w:left w:val="nil"/>
              <w:bottom w:val="single" w:sz="4" w:space="0" w:color="auto"/>
              <w:right w:val="single" w:sz="8" w:space="0" w:color="auto"/>
            </w:tcBorders>
            <w:shd w:val="clear" w:color="auto" w:fill="auto"/>
            <w:noWrap/>
            <w:vAlign w:val="center"/>
            <w:hideMark/>
          </w:tcPr>
          <w:p w14:paraId="0C0463C6" w14:textId="1CC81620"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1</w:t>
            </w:r>
          </w:p>
        </w:tc>
        <w:tc>
          <w:tcPr>
            <w:tcW w:w="960" w:type="dxa"/>
            <w:tcBorders>
              <w:top w:val="nil"/>
              <w:left w:val="nil"/>
              <w:bottom w:val="nil"/>
              <w:right w:val="nil"/>
            </w:tcBorders>
            <w:shd w:val="clear" w:color="auto" w:fill="auto"/>
            <w:noWrap/>
            <w:vAlign w:val="bottom"/>
            <w:hideMark/>
          </w:tcPr>
          <w:p w14:paraId="1F7467F1"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4FC44731" w14:textId="7198A820"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Bosnie</w:t>
            </w:r>
            <w:r w:rsidR="00585B85" w:rsidRPr="004B31D6">
              <w:rPr>
                <w:rFonts w:ascii="Calibri" w:eastAsia="Times New Roman" w:hAnsi="Calibri" w:cs="Calibri"/>
                <w:color w:val="000000"/>
                <w:sz w:val="20"/>
                <w:szCs w:val="20"/>
                <w:lang w:val="fr-FR" w:eastAsia="fr-BE"/>
              </w:rPr>
              <w:t>-Herzégovine</w:t>
            </w:r>
          </w:p>
        </w:tc>
        <w:tc>
          <w:tcPr>
            <w:tcW w:w="1300" w:type="dxa"/>
            <w:tcBorders>
              <w:top w:val="nil"/>
              <w:left w:val="nil"/>
              <w:bottom w:val="single" w:sz="4" w:space="0" w:color="auto"/>
              <w:right w:val="single" w:sz="8" w:space="0" w:color="auto"/>
            </w:tcBorders>
            <w:shd w:val="clear" w:color="auto" w:fill="auto"/>
            <w:noWrap/>
            <w:vAlign w:val="center"/>
            <w:hideMark/>
          </w:tcPr>
          <w:p w14:paraId="37EBF6F2"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w:t>
            </w:r>
          </w:p>
        </w:tc>
      </w:tr>
      <w:tr w:rsidR="00605AD8" w:rsidRPr="00B0790D" w14:paraId="1A885447"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6D178DF2" w14:textId="0876D57B" w:rsidR="00605AD8" w:rsidRPr="004B31D6" w:rsidRDefault="00605AD8" w:rsidP="00B0790D">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Singapo</w:t>
            </w:r>
            <w:r w:rsidR="00F91E56" w:rsidRPr="004B31D6">
              <w:rPr>
                <w:rFonts w:ascii="Calibri" w:eastAsia="Times New Roman" w:hAnsi="Calibri" w:cs="Calibri"/>
                <w:color w:val="000000"/>
                <w:sz w:val="20"/>
                <w:szCs w:val="20"/>
                <w:lang w:val="fr-FR" w:eastAsia="fr-BE"/>
              </w:rPr>
              <w:t>u</w:t>
            </w:r>
            <w:r w:rsidRPr="004B31D6">
              <w:rPr>
                <w:rFonts w:ascii="Calibri" w:eastAsia="Times New Roman" w:hAnsi="Calibri" w:cs="Calibri"/>
                <w:color w:val="000000"/>
                <w:sz w:val="20"/>
                <w:szCs w:val="20"/>
                <w:lang w:val="fr-FR" w:eastAsia="fr-BE"/>
              </w:rPr>
              <w:t>r</w:t>
            </w:r>
          </w:p>
        </w:tc>
        <w:tc>
          <w:tcPr>
            <w:tcW w:w="1300" w:type="dxa"/>
            <w:tcBorders>
              <w:top w:val="nil"/>
              <w:left w:val="nil"/>
              <w:bottom w:val="single" w:sz="4" w:space="0" w:color="auto"/>
              <w:right w:val="single" w:sz="8" w:space="0" w:color="auto"/>
            </w:tcBorders>
            <w:shd w:val="clear" w:color="auto" w:fill="auto"/>
            <w:noWrap/>
            <w:vAlign w:val="center"/>
            <w:hideMark/>
          </w:tcPr>
          <w:p w14:paraId="3BAD7B78" w14:textId="484635F5"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2</w:t>
            </w:r>
          </w:p>
        </w:tc>
        <w:tc>
          <w:tcPr>
            <w:tcW w:w="960" w:type="dxa"/>
            <w:tcBorders>
              <w:top w:val="nil"/>
              <w:left w:val="nil"/>
              <w:bottom w:val="nil"/>
              <w:right w:val="nil"/>
            </w:tcBorders>
            <w:shd w:val="clear" w:color="auto" w:fill="auto"/>
            <w:noWrap/>
            <w:vAlign w:val="bottom"/>
            <w:hideMark/>
          </w:tcPr>
          <w:p w14:paraId="09667C7E"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3BC2B5B5"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Bulgarie</w:t>
            </w:r>
          </w:p>
        </w:tc>
        <w:tc>
          <w:tcPr>
            <w:tcW w:w="1300" w:type="dxa"/>
            <w:tcBorders>
              <w:top w:val="nil"/>
              <w:left w:val="nil"/>
              <w:bottom w:val="single" w:sz="4" w:space="0" w:color="auto"/>
              <w:right w:val="single" w:sz="8" w:space="0" w:color="auto"/>
            </w:tcBorders>
            <w:shd w:val="clear" w:color="auto" w:fill="auto"/>
            <w:noWrap/>
            <w:vAlign w:val="center"/>
            <w:hideMark/>
          </w:tcPr>
          <w:p w14:paraId="37C1A29E"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w:t>
            </w:r>
          </w:p>
        </w:tc>
      </w:tr>
      <w:tr w:rsidR="00605AD8" w:rsidRPr="00B0790D" w14:paraId="05D13C7C" w14:textId="77777777" w:rsidTr="00605AD8">
        <w:trPr>
          <w:trHeight w:val="259"/>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7B15E934"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Suède</w:t>
            </w:r>
          </w:p>
        </w:tc>
        <w:tc>
          <w:tcPr>
            <w:tcW w:w="1300" w:type="dxa"/>
            <w:tcBorders>
              <w:top w:val="nil"/>
              <w:left w:val="nil"/>
              <w:bottom w:val="single" w:sz="4" w:space="0" w:color="auto"/>
              <w:right w:val="single" w:sz="8" w:space="0" w:color="auto"/>
            </w:tcBorders>
            <w:shd w:val="clear" w:color="auto" w:fill="auto"/>
            <w:noWrap/>
            <w:vAlign w:val="center"/>
            <w:hideMark/>
          </w:tcPr>
          <w:p w14:paraId="12A05FB0" w14:textId="76A11F35" w:rsidR="00605AD8" w:rsidRPr="004B31D6" w:rsidRDefault="00DE36CD" w:rsidP="00605AD8">
            <w:pPr>
              <w:spacing w:after="0" w:line="240" w:lineRule="auto"/>
              <w:jc w:val="center"/>
              <w:rPr>
                <w:rFonts w:ascii="Calibri" w:eastAsia="Times New Roman" w:hAnsi="Calibri" w:cs="Calibri"/>
                <w:color w:val="000000"/>
                <w:sz w:val="20"/>
                <w:szCs w:val="20"/>
                <w:lang w:val="fr-FR" w:eastAsia="fr-BE"/>
              </w:rPr>
            </w:pPr>
            <w:r>
              <w:rPr>
                <w:rFonts w:ascii="Calibri" w:eastAsia="Times New Roman" w:hAnsi="Calibri" w:cs="Calibri"/>
                <w:color w:val="000000"/>
                <w:sz w:val="20"/>
                <w:szCs w:val="20"/>
                <w:lang w:val="fr-FR" w:eastAsia="fr-BE"/>
              </w:rPr>
              <w:t>4</w:t>
            </w:r>
          </w:p>
        </w:tc>
        <w:tc>
          <w:tcPr>
            <w:tcW w:w="960" w:type="dxa"/>
            <w:tcBorders>
              <w:top w:val="nil"/>
              <w:left w:val="nil"/>
              <w:bottom w:val="nil"/>
              <w:right w:val="nil"/>
            </w:tcBorders>
            <w:shd w:val="clear" w:color="auto" w:fill="auto"/>
            <w:noWrap/>
            <w:vAlign w:val="bottom"/>
            <w:hideMark/>
          </w:tcPr>
          <w:p w14:paraId="2D8396B7"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4" w:space="0" w:color="auto"/>
              <w:right w:val="single" w:sz="8" w:space="0" w:color="auto"/>
            </w:tcBorders>
            <w:shd w:val="clear" w:color="auto" w:fill="auto"/>
            <w:noWrap/>
            <w:vAlign w:val="bottom"/>
            <w:hideMark/>
          </w:tcPr>
          <w:p w14:paraId="2C39B1AA"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Roumanie</w:t>
            </w:r>
          </w:p>
        </w:tc>
        <w:tc>
          <w:tcPr>
            <w:tcW w:w="1300" w:type="dxa"/>
            <w:tcBorders>
              <w:top w:val="nil"/>
              <w:left w:val="nil"/>
              <w:bottom w:val="single" w:sz="4" w:space="0" w:color="auto"/>
              <w:right w:val="single" w:sz="8" w:space="0" w:color="auto"/>
            </w:tcBorders>
            <w:shd w:val="clear" w:color="auto" w:fill="auto"/>
            <w:noWrap/>
            <w:vAlign w:val="center"/>
            <w:hideMark/>
          </w:tcPr>
          <w:p w14:paraId="3C618FAA"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w:t>
            </w:r>
          </w:p>
        </w:tc>
      </w:tr>
      <w:tr w:rsidR="00605AD8" w:rsidRPr="00B0790D" w14:paraId="782AE855" w14:textId="77777777" w:rsidTr="00605AD8">
        <w:trPr>
          <w:trHeight w:val="259"/>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14:paraId="470A1EB6"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Turquie</w:t>
            </w:r>
          </w:p>
        </w:tc>
        <w:tc>
          <w:tcPr>
            <w:tcW w:w="1300" w:type="dxa"/>
            <w:tcBorders>
              <w:top w:val="nil"/>
              <w:left w:val="nil"/>
              <w:bottom w:val="single" w:sz="8" w:space="0" w:color="auto"/>
              <w:right w:val="single" w:sz="8" w:space="0" w:color="auto"/>
            </w:tcBorders>
            <w:shd w:val="clear" w:color="auto" w:fill="auto"/>
            <w:noWrap/>
            <w:vAlign w:val="center"/>
            <w:hideMark/>
          </w:tcPr>
          <w:p w14:paraId="6A4918C3"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4</w:t>
            </w:r>
          </w:p>
        </w:tc>
        <w:tc>
          <w:tcPr>
            <w:tcW w:w="960" w:type="dxa"/>
            <w:tcBorders>
              <w:top w:val="nil"/>
              <w:left w:val="nil"/>
              <w:bottom w:val="nil"/>
              <w:right w:val="nil"/>
            </w:tcBorders>
            <w:shd w:val="clear" w:color="auto" w:fill="auto"/>
            <w:noWrap/>
            <w:vAlign w:val="bottom"/>
            <w:hideMark/>
          </w:tcPr>
          <w:p w14:paraId="1147D938"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p>
        </w:tc>
        <w:tc>
          <w:tcPr>
            <w:tcW w:w="2140" w:type="dxa"/>
            <w:tcBorders>
              <w:top w:val="nil"/>
              <w:left w:val="single" w:sz="8" w:space="0" w:color="auto"/>
              <w:bottom w:val="single" w:sz="8" w:space="0" w:color="auto"/>
              <w:right w:val="single" w:sz="8" w:space="0" w:color="auto"/>
            </w:tcBorders>
            <w:shd w:val="clear" w:color="auto" w:fill="auto"/>
            <w:noWrap/>
            <w:vAlign w:val="bottom"/>
            <w:hideMark/>
          </w:tcPr>
          <w:p w14:paraId="0C64EDCC" w14:textId="77777777" w:rsidR="00605AD8" w:rsidRPr="004B31D6" w:rsidRDefault="00605AD8" w:rsidP="00605AD8">
            <w:pPr>
              <w:spacing w:after="0" w:line="240" w:lineRule="auto"/>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Royaume-Uni</w:t>
            </w:r>
          </w:p>
        </w:tc>
        <w:tc>
          <w:tcPr>
            <w:tcW w:w="1300" w:type="dxa"/>
            <w:tcBorders>
              <w:top w:val="nil"/>
              <w:left w:val="nil"/>
              <w:bottom w:val="single" w:sz="8" w:space="0" w:color="auto"/>
              <w:right w:val="single" w:sz="8" w:space="0" w:color="auto"/>
            </w:tcBorders>
            <w:shd w:val="clear" w:color="auto" w:fill="auto"/>
            <w:noWrap/>
            <w:vAlign w:val="center"/>
            <w:hideMark/>
          </w:tcPr>
          <w:p w14:paraId="17036448" w14:textId="77777777" w:rsidR="00605AD8" w:rsidRPr="004B31D6" w:rsidRDefault="00605AD8" w:rsidP="00605AD8">
            <w:pPr>
              <w:spacing w:after="0" w:line="240" w:lineRule="auto"/>
              <w:jc w:val="center"/>
              <w:rPr>
                <w:rFonts w:ascii="Calibri" w:eastAsia="Times New Roman" w:hAnsi="Calibri" w:cs="Calibri"/>
                <w:color w:val="000000"/>
                <w:sz w:val="20"/>
                <w:szCs w:val="20"/>
                <w:lang w:val="fr-FR" w:eastAsia="fr-BE"/>
              </w:rPr>
            </w:pPr>
            <w:r w:rsidRPr="004B31D6">
              <w:rPr>
                <w:rFonts w:ascii="Calibri" w:eastAsia="Times New Roman" w:hAnsi="Calibri" w:cs="Calibri"/>
                <w:color w:val="000000"/>
                <w:sz w:val="20"/>
                <w:szCs w:val="20"/>
                <w:lang w:val="fr-FR" w:eastAsia="fr-BE"/>
              </w:rPr>
              <w:t>1</w:t>
            </w:r>
          </w:p>
        </w:tc>
      </w:tr>
    </w:tbl>
    <w:p w14:paraId="0F3A6A9C" w14:textId="5EC05BCA" w:rsidR="004C78C0" w:rsidRPr="004B31D6" w:rsidRDefault="004C78C0" w:rsidP="004C78C0">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lastRenderedPageBreak/>
        <w:t>TOP 3</w:t>
      </w:r>
      <w:r w:rsidR="00B0790D">
        <w:rPr>
          <w:rFonts w:asciiTheme="minorHAnsi" w:hAnsiTheme="minorHAnsi" w:cstheme="minorHAnsi"/>
          <w:sz w:val="22"/>
          <w:szCs w:val="22"/>
          <w:lang w:val="fr-FR"/>
        </w:rPr>
        <w:t> :</w:t>
      </w:r>
      <w:r w:rsidRPr="004B31D6">
        <w:rPr>
          <w:rFonts w:asciiTheme="minorHAnsi" w:hAnsiTheme="minorHAnsi" w:cstheme="minorHAnsi"/>
          <w:sz w:val="22"/>
          <w:szCs w:val="22"/>
          <w:lang w:val="fr-FR"/>
        </w:rPr>
        <w:t xml:space="preserve"> </w:t>
      </w:r>
      <w:r w:rsidR="00B0790D">
        <w:rPr>
          <w:rFonts w:asciiTheme="minorHAnsi" w:hAnsiTheme="minorHAnsi" w:cstheme="minorHAnsi"/>
          <w:sz w:val="22"/>
          <w:szCs w:val="22"/>
          <w:lang w:val="fr-FR"/>
        </w:rPr>
        <w:t>s</w:t>
      </w:r>
      <w:r w:rsidR="00605AD8" w:rsidRPr="004B31D6">
        <w:rPr>
          <w:rFonts w:asciiTheme="minorHAnsi" w:hAnsiTheme="minorHAnsi" w:cstheme="minorHAnsi"/>
          <w:sz w:val="22"/>
          <w:szCs w:val="22"/>
          <w:lang w:val="fr-FR"/>
        </w:rPr>
        <w:t>urface de stand</w:t>
      </w:r>
    </w:p>
    <w:p w14:paraId="4F188FC7" w14:textId="22A2AC1D" w:rsidR="004C78C0" w:rsidRPr="004B31D6" w:rsidRDefault="004C78C0" w:rsidP="004C78C0">
      <w:pPr>
        <w:pStyle w:val="ListParagraph"/>
        <w:numPr>
          <w:ilvl w:val="0"/>
          <w:numId w:val="18"/>
        </w:numPr>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MECAM – 1347 </w:t>
      </w:r>
      <w:r w:rsidR="00605AD8" w:rsidRPr="004B31D6">
        <w:rPr>
          <w:rFonts w:asciiTheme="minorHAnsi" w:hAnsiTheme="minorHAnsi" w:cstheme="minorHAnsi"/>
          <w:sz w:val="22"/>
          <w:szCs w:val="22"/>
          <w:lang w:val="fr-FR"/>
        </w:rPr>
        <w:t>m²</w:t>
      </w:r>
    </w:p>
    <w:p w14:paraId="7C50AC77" w14:textId="4893232B" w:rsidR="004C78C0" w:rsidRPr="004B31D6" w:rsidRDefault="004C78C0" w:rsidP="004C78C0">
      <w:pPr>
        <w:pStyle w:val="ListParagraph"/>
        <w:numPr>
          <w:ilvl w:val="0"/>
          <w:numId w:val="18"/>
        </w:numPr>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HTL – 786 </w:t>
      </w:r>
      <w:r w:rsidR="00605AD8" w:rsidRPr="004B31D6">
        <w:rPr>
          <w:rFonts w:asciiTheme="minorHAnsi" w:hAnsiTheme="minorHAnsi" w:cstheme="minorHAnsi"/>
          <w:sz w:val="22"/>
          <w:szCs w:val="22"/>
          <w:lang w:val="fr-FR"/>
        </w:rPr>
        <w:t>m²</w:t>
      </w:r>
    </w:p>
    <w:p w14:paraId="3DF55601" w14:textId="32D2652A" w:rsidR="004C78C0" w:rsidRPr="004B31D6" w:rsidRDefault="004C78C0" w:rsidP="004C78C0">
      <w:pPr>
        <w:pStyle w:val="ListParagraph"/>
        <w:numPr>
          <w:ilvl w:val="0"/>
          <w:numId w:val="18"/>
        </w:numPr>
        <w:rPr>
          <w:rFonts w:asciiTheme="minorHAnsi" w:hAnsiTheme="minorHAnsi" w:cstheme="minorHAnsi"/>
          <w:sz w:val="22"/>
          <w:szCs w:val="22"/>
          <w:lang w:val="nl-NL"/>
        </w:rPr>
      </w:pPr>
      <w:r w:rsidRPr="004B31D6">
        <w:rPr>
          <w:rFonts w:asciiTheme="minorHAnsi" w:hAnsiTheme="minorHAnsi" w:cstheme="minorHAnsi"/>
          <w:sz w:val="22"/>
          <w:szCs w:val="22"/>
          <w:lang w:val="nl-NL"/>
        </w:rPr>
        <w:t xml:space="preserve">HIMA, ROM &amp; DE EIKEN ZETEL – 725 </w:t>
      </w:r>
      <w:r w:rsidR="00605AD8" w:rsidRPr="004B31D6">
        <w:rPr>
          <w:rFonts w:asciiTheme="minorHAnsi" w:hAnsiTheme="minorHAnsi" w:cstheme="minorHAnsi"/>
          <w:sz w:val="22"/>
          <w:szCs w:val="22"/>
          <w:lang w:val="nl-NL"/>
        </w:rPr>
        <w:t>m²</w:t>
      </w:r>
    </w:p>
    <w:p w14:paraId="07F1391C" w14:textId="77777777" w:rsidR="004C78C0" w:rsidRPr="004B31D6" w:rsidRDefault="004C78C0" w:rsidP="004C78C0">
      <w:pPr>
        <w:pStyle w:val="ListParagraph"/>
        <w:ind w:left="1440"/>
        <w:rPr>
          <w:rFonts w:asciiTheme="minorHAnsi" w:hAnsiTheme="minorHAnsi" w:cstheme="minorHAnsi"/>
          <w:sz w:val="22"/>
          <w:szCs w:val="22"/>
          <w:lang w:val="nl-NL"/>
        </w:rPr>
      </w:pPr>
    </w:p>
    <w:p w14:paraId="4C28AB5B" w14:textId="04705796" w:rsidR="004C78C0" w:rsidRPr="004B31D6" w:rsidRDefault="004C78C0" w:rsidP="004C78C0">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TOP 3</w:t>
      </w:r>
      <w:r w:rsidR="00B0790D">
        <w:rPr>
          <w:rFonts w:asciiTheme="minorHAnsi" w:hAnsiTheme="minorHAnsi" w:cstheme="minorHAnsi"/>
          <w:sz w:val="22"/>
          <w:szCs w:val="22"/>
          <w:lang w:val="fr-FR"/>
        </w:rPr>
        <w:t> :</w:t>
      </w:r>
      <w:r w:rsidRPr="004B31D6">
        <w:rPr>
          <w:rFonts w:asciiTheme="minorHAnsi" w:hAnsiTheme="minorHAnsi" w:cstheme="minorHAnsi"/>
          <w:sz w:val="22"/>
          <w:szCs w:val="22"/>
          <w:lang w:val="fr-FR"/>
        </w:rPr>
        <w:t xml:space="preserve"> </w:t>
      </w:r>
      <w:r w:rsidR="00585B85" w:rsidRPr="004B31D6">
        <w:rPr>
          <w:rFonts w:asciiTheme="minorHAnsi" w:hAnsiTheme="minorHAnsi" w:cstheme="minorHAnsi"/>
          <w:sz w:val="22"/>
          <w:szCs w:val="22"/>
          <w:lang w:val="fr-FR"/>
        </w:rPr>
        <w:t>c</w:t>
      </w:r>
      <w:r w:rsidR="00605AD8" w:rsidRPr="004B31D6">
        <w:rPr>
          <w:rFonts w:asciiTheme="minorHAnsi" w:hAnsiTheme="minorHAnsi" w:cstheme="minorHAnsi"/>
          <w:sz w:val="22"/>
          <w:szCs w:val="22"/>
          <w:lang w:val="fr-FR"/>
        </w:rPr>
        <w:t>onstruction de stand</w:t>
      </w:r>
      <w:r w:rsidRPr="004B31D6">
        <w:rPr>
          <w:rFonts w:asciiTheme="minorHAnsi" w:hAnsiTheme="minorHAnsi" w:cstheme="minorHAnsi"/>
          <w:sz w:val="22"/>
          <w:szCs w:val="22"/>
          <w:lang w:val="fr-FR"/>
        </w:rPr>
        <w:t xml:space="preserve"> (</w:t>
      </w:r>
      <w:r w:rsidR="00585B85" w:rsidRPr="004B31D6">
        <w:rPr>
          <w:rFonts w:asciiTheme="minorHAnsi" w:hAnsiTheme="minorHAnsi" w:cstheme="minorHAnsi"/>
          <w:sz w:val="22"/>
          <w:szCs w:val="22"/>
          <w:lang w:val="fr-FR"/>
        </w:rPr>
        <w:t>r</w:t>
      </w:r>
      <w:r w:rsidR="00605AD8" w:rsidRPr="004B31D6">
        <w:rPr>
          <w:rFonts w:asciiTheme="minorHAnsi" w:hAnsiTheme="minorHAnsi" w:cstheme="minorHAnsi"/>
          <w:sz w:val="22"/>
          <w:szCs w:val="22"/>
          <w:lang w:val="fr-FR"/>
        </w:rPr>
        <w:t>emis par le constructeur officiel du Salon du Meuble – très subjectif</w:t>
      </w:r>
      <w:r w:rsidRPr="004B31D6">
        <w:rPr>
          <w:rFonts w:asciiTheme="minorHAnsi" w:hAnsiTheme="minorHAnsi" w:cstheme="minorHAnsi"/>
          <w:sz w:val="22"/>
          <w:szCs w:val="22"/>
          <w:lang w:val="fr-FR"/>
        </w:rPr>
        <w:t xml:space="preserve">) </w:t>
      </w:r>
    </w:p>
    <w:p w14:paraId="4F42A723" w14:textId="64DCBE40" w:rsidR="004C78C0" w:rsidRPr="004B31D6" w:rsidRDefault="004C78C0" w:rsidP="004C78C0">
      <w:pPr>
        <w:pStyle w:val="ListParagraph"/>
        <w:numPr>
          <w:ilvl w:val="0"/>
          <w:numId w:val="19"/>
        </w:numPr>
        <w:rPr>
          <w:rFonts w:asciiTheme="minorHAnsi" w:hAnsiTheme="minorHAnsi" w:cstheme="minorHAnsi"/>
          <w:sz w:val="22"/>
          <w:szCs w:val="22"/>
          <w:lang w:val="fr-FR"/>
        </w:rPr>
      </w:pPr>
      <w:r w:rsidRPr="004B31D6">
        <w:rPr>
          <w:rFonts w:asciiTheme="minorHAnsi" w:hAnsiTheme="minorHAnsi" w:cstheme="minorHAnsi"/>
          <w:sz w:val="22"/>
          <w:szCs w:val="22"/>
          <w:lang w:val="fr-FR"/>
        </w:rPr>
        <w:t>MOBITEC (</w:t>
      </w:r>
      <w:r w:rsidR="00585B85" w:rsidRPr="004B31D6">
        <w:rPr>
          <w:rFonts w:asciiTheme="minorHAnsi" w:hAnsiTheme="minorHAnsi" w:cstheme="minorHAnsi"/>
          <w:sz w:val="22"/>
          <w:szCs w:val="22"/>
          <w:lang w:val="fr-FR"/>
        </w:rPr>
        <w:t>l</w:t>
      </w:r>
      <w:r w:rsidR="00605AD8" w:rsidRPr="004B31D6">
        <w:rPr>
          <w:rFonts w:asciiTheme="minorHAnsi" w:hAnsiTheme="minorHAnsi" w:cstheme="minorHAnsi"/>
          <w:sz w:val="22"/>
          <w:szCs w:val="22"/>
          <w:lang w:val="fr-FR"/>
        </w:rPr>
        <w:t>e plus beau</w:t>
      </w:r>
      <w:r w:rsidRPr="004B31D6">
        <w:rPr>
          <w:rFonts w:asciiTheme="minorHAnsi" w:hAnsiTheme="minorHAnsi" w:cstheme="minorHAnsi"/>
          <w:sz w:val="22"/>
          <w:szCs w:val="22"/>
          <w:lang w:val="fr-FR"/>
        </w:rPr>
        <w:t>)</w:t>
      </w:r>
    </w:p>
    <w:p w14:paraId="4B12C4D4" w14:textId="3740493B" w:rsidR="004C78C0" w:rsidRPr="004B31D6" w:rsidRDefault="004C78C0" w:rsidP="004C78C0">
      <w:pPr>
        <w:pStyle w:val="ListParagraph"/>
        <w:numPr>
          <w:ilvl w:val="0"/>
          <w:numId w:val="19"/>
        </w:numPr>
        <w:rPr>
          <w:rFonts w:asciiTheme="minorHAnsi" w:hAnsiTheme="minorHAnsi" w:cstheme="minorHAnsi"/>
          <w:sz w:val="22"/>
          <w:szCs w:val="22"/>
          <w:lang w:val="fr-FR"/>
        </w:rPr>
      </w:pPr>
      <w:r w:rsidRPr="004B31D6">
        <w:rPr>
          <w:rFonts w:asciiTheme="minorHAnsi" w:hAnsiTheme="minorHAnsi" w:cstheme="minorHAnsi"/>
          <w:sz w:val="22"/>
          <w:szCs w:val="22"/>
          <w:lang w:val="fr-FR"/>
        </w:rPr>
        <w:t>MAX DIVANI</w:t>
      </w:r>
      <w:r w:rsidR="0068724D" w:rsidRPr="004B31D6">
        <w:rPr>
          <w:rFonts w:asciiTheme="minorHAnsi" w:hAnsiTheme="minorHAnsi" w:cstheme="minorHAnsi"/>
          <w:sz w:val="22"/>
          <w:szCs w:val="22"/>
          <w:lang w:val="fr-FR"/>
        </w:rPr>
        <w:t>, PASSE PARTOUT, ROM (</w:t>
      </w:r>
      <w:r w:rsidR="00585B85" w:rsidRPr="004B31D6">
        <w:rPr>
          <w:rFonts w:asciiTheme="minorHAnsi" w:hAnsiTheme="minorHAnsi" w:cstheme="minorHAnsi"/>
          <w:sz w:val="22"/>
          <w:szCs w:val="22"/>
          <w:lang w:val="fr-FR"/>
        </w:rPr>
        <w:t>l</w:t>
      </w:r>
      <w:r w:rsidR="0068724D" w:rsidRPr="004B31D6">
        <w:rPr>
          <w:rFonts w:asciiTheme="minorHAnsi" w:hAnsiTheme="minorHAnsi" w:cstheme="minorHAnsi"/>
          <w:sz w:val="22"/>
          <w:szCs w:val="22"/>
          <w:lang w:val="fr-FR"/>
        </w:rPr>
        <w:t>es plus conviviaux)</w:t>
      </w:r>
    </w:p>
    <w:p w14:paraId="2A15CE10" w14:textId="38461B73" w:rsidR="004C78C0" w:rsidRPr="004B31D6" w:rsidRDefault="004C78C0" w:rsidP="004C78C0">
      <w:pPr>
        <w:pStyle w:val="ListParagraph"/>
        <w:numPr>
          <w:ilvl w:val="0"/>
          <w:numId w:val="19"/>
        </w:numPr>
        <w:rPr>
          <w:rFonts w:asciiTheme="minorHAnsi" w:hAnsiTheme="minorHAnsi" w:cstheme="minorHAnsi"/>
          <w:sz w:val="22"/>
          <w:szCs w:val="22"/>
          <w:lang w:val="fr-FR"/>
        </w:rPr>
      </w:pPr>
      <w:r w:rsidRPr="004B31D6">
        <w:rPr>
          <w:rFonts w:asciiTheme="minorHAnsi" w:hAnsiTheme="minorHAnsi" w:cstheme="minorHAnsi"/>
          <w:sz w:val="22"/>
          <w:szCs w:val="22"/>
          <w:lang w:val="fr-FR"/>
        </w:rPr>
        <w:t>WIEMANN, WIMEX, LODDENKEMPER, FEMIRA (</w:t>
      </w:r>
      <w:r w:rsidR="00585B85" w:rsidRPr="004B31D6">
        <w:rPr>
          <w:rFonts w:asciiTheme="minorHAnsi" w:hAnsiTheme="minorHAnsi" w:cstheme="minorHAnsi"/>
          <w:sz w:val="22"/>
          <w:szCs w:val="22"/>
          <w:lang w:val="fr-FR"/>
        </w:rPr>
        <w:t>l</w:t>
      </w:r>
      <w:r w:rsidR="00605AD8" w:rsidRPr="004B31D6">
        <w:rPr>
          <w:rFonts w:asciiTheme="minorHAnsi" w:hAnsiTheme="minorHAnsi" w:cstheme="minorHAnsi"/>
          <w:sz w:val="22"/>
          <w:szCs w:val="22"/>
          <w:lang w:val="fr-FR"/>
        </w:rPr>
        <w:t>e plus impression</w:t>
      </w:r>
      <w:r w:rsidR="00585B85" w:rsidRPr="004B31D6">
        <w:rPr>
          <w:rFonts w:asciiTheme="minorHAnsi" w:hAnsiTheme="minorHAnsi" w:cstheme="minorHAnsi"/>
          <w:sz w:val="22"/>
          <w:szCs w:val="22"/>
          <w:lang w:val="fr-FR"/>
        </w:rPr>
        <w:t>n</w:t>
      </w:r>
      <w:r w:rsidR="00605AD8" w:rsidRPr="004B31D6">
        <w:rPr>
          <w:rFonts w:asciiTheme="minorHAnsi" w:hAnsiTheme="minorHAnsi" w:cstheme="minorHAnsi"/>
          <w:sz w:val="22"/>
          <w:szCs w:val="22"/>
          <w:lang w:val="fr-FR"/>
        </w:rPr>
        <w:t>ant)</w:t>
      </w:r>
    </w:p>
    <w:p w14:paraId="218EF582" w14:textId="77777777" w:rsidR="004C78C0" w:rsidRPr="004B31D6" w:rsidRDefault="004C78C0" w:rsidP="004C78C0">
      <w:pPr>
        <w:pStyle w:val="ListParagraph"/>
        <w:ind w:left="1800"/>
        <w:rPr>
          <w:rFonts w:asciiTheme="minorHAnsi" w:hAnsiTheme="minorHAnsi" w:cstheme="minorHAnsi"/>
          <w:sz w:val="22"/>
          <w:szCs w:val="22"/>
          <w:lang w:val="fr-FR"/>
        </w:rPr>
      </w:pPr>
    </w:p>
    <w:p w14:paraId="046D50D3" w14:textId="7497DB66" w:rsidR="004C78C0" w:rsidRPr="004B31D6" w:rsidRDefault="00605AD8" w:rsidP="004C78C0">
      <w:pPr>
        <w:pStyle w:val="ListParagraph"/>
        <w:numPr>
          <w:ilvl w:val="0"/>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Quelques noms</w:t>
      </w:r>
      <w:r w:rsidR="00B0790D">
        <w:rPr>
          <w:rFonts w:asciiTheme="minorHAnsi" w:hAnsiTheme="minorHAnsi" w:cstheme="minorHAnsi"/>
          <w:sz w:val="22"/>
          <w:szCs w:val="22"/>
          <w:lang w:val="fr-FR"/>
        </w:rPr>
        <w:t> :</w:t>
      </w:r>
    </w:p>
    <w:p w14:paraId="70C264E6" w14:textId="6EF0CA14" w:rsidR="004C78C0" w:rsidRPr="004B31D6" w:rsidRDefault="00605AD8" w:rsidP="004C78C0">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Nouveaux exposants et retours les plus marquants</w:t>
      </w:r>
      <w:r w:rsidR="004C78C0" w:rsidRPr="004B31D6">
        <w:rPr>
          <w:rFonts w:asciiTheme="minorHAnsi" w:hAnsiTheme="minorHAnsi" w:cstheme="minorHAnsi"/>
          <w:sz w:val="22"/>
          <w:szCs w:val="22"/>
          <w:lang w:val="fr-FR"/>
        </w:rPr>
        <w:t>: Voglauer, Stooly, Stommen Group (Brafab, Furninova, conform), Key West Bedding, Caso Furniture, M-Line/DBC International, Bijnen, Ada Möbelwerke, CBA Meubles/Demeyere, Cacio, Ultima.</w:t>
      </w:r>
    </w:p>
    <w:p w14:paraId="6CA5B8DF" w14:textId="5D65D218" w:rsidR="004C78C0" w:rsidRPr="004B31D6" w:rsidRDefault="00605AD8" w:rsidP="004C78C0">
      <w:pPr>
        <w:pStyle w:val="ListParagraph"/>
        <w:numPr>
          <w:ilvl w:val="1"/>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Les absents les plus marquants</w:t>
      </w:r>
      <w:r w:rsidR="004C78C0" w:rsidRPr="004B31D6">
        <w:rPr>
          <w:rFonts w:asciiTheme="minorHAnsi" w:hAnsiTheme="minorHAnsi" w:cstheme="minorHAnsi"/>
          <w:sz w:val="22"/>
          <w:szCs w:val="22"/>
          <w:lang w:val="fr-FR"/>
        </w:rPr>
        <w:t>: LS Bedding, Polipol, Calia Italia, Veldeman Bedding.</w:t>
      </w:r>
    </w:p>
    <w:p w14:paraId="2CB243D1" w14:textId="77777777" w:rsidR="004C78C0" w:rsidRPr="004B31D6" w:rsidRDefault="004C78C0" w:rsidP="004C78C0">
      <w:pPr>
        <w:pStyle w:val="ListParagraph"/>
        <w:ind w:left="1440"/>
        <w:rPr>
          <w:rFonts w:asciiTheme="minorHAnsi" w:hAnsiTheme="minorHAnsi" w:cstheme="minorHAnsi"/>
          <w:sz w:val="22"/>
          <w:szCs w:val="22"/>
          <w:lang w:val="fr-FR"/>
        </w:rPr>
      </w:pPr>
    </w:p>
    <w:p w14:paraId="4DE065B1" w14:textId="77777777" w:rsidR="004C78C0" w:rsidRPr="004B31D6" w:rsidRDefault="004C78C0" w:rsidP="004C78C0">
      <w:pPr>
        <w:pStyle w:val="ListParagraph"/>
        <w:rPr>
          <w:rFonts w:asciiTheme="minorHAnsi" w:hAnsiTheme="minorHAnsi" w:cstheme="minorHAnsi"/>
          <w:sz w:val="22"/>
          <w:szCs w:val="22"/>
          <w:lang w:val="fr-FR"/>
        </w:rPr>
      </w:pPr>
    </w:p>
    <w:p w14:paraId="34AA1D0E" w14:textId="0852799F" w:rsidR="004C78C0" w:rsidRPr="004B31D6" w:rsidRDefault="005E5433" w:rsidP="004C78C0">
      <w:pPr>
        <w:pStyle w:val="ListParagraph"/>
        <w:numPr>
          <w:ilvl w:val="0"/>
          <w:numId w:val="17"/>
        </w:numPr>
        <w:rPr>
          <w:rFonts w:asciiTheme="minorHAnsi" w:hAnsiTheme="minorHAnsi" w:cstheme="minorHAnsi"/>
          <w:sz w:val="22"/>
          <w:szCs w:val="22"/>
          <w:lang w:val="fr-FR"/>
        </w:rPr>
      </w:pPr>
      <w:r w:rsidRPr="004B31D6">
        <w:rPr>
          <w:rFonts w:asciiTheme="minorHAnsi" w:hAnsiTheme="minorHAnsi" w:cstheme="minorHAnsi"/>
          <w:sz w:val="22"/>
          <w:szCs w:val="22"/>
          <w:lang w:val="fr-FR"/>
        </w:rPr>
        <w:t>Nouveautés à Bruxelles :</w:t>
      </w:r>
    </w:p>
    <w:p w14:paraId="3650A64E" w14:textId="77777777" w:rsidR="00F0370D" w:rsidRPr="004B31D6" w:rsidRDefault="00F0370D" w:rsidP="004C78C0">
      <w:pPr>
        <w:pStyle w:val="ListParagraph"/>
        <w:rPr>
          <w:rFonts w:asciiTheme="minorHAnsi" w:hAnsiTheme="minorHAnsi" w:cstheme="minorHAnsi"/>
          <w:sz w:val="22"/>
          <w:szCs w:val="22"/>
          <w:lang w:val="fr-FR"/>
        </w:rPr>
      </w:pPr>
    </w:p>
    <w:p w14:paraId="7D296F2F" w14:textId="5F1080B2" w:rsidR="004C78C0" w:rsidRPr="004B31D6" w:rsidRDefault="00EA0A8C" w:rsidP="004B31D6">
      <w:pPr>
        <w:pStyle w:val="ListParagraph"/>
        <w:ind w:left="0"/>
        <w:rPr>
          <w:rFonts w:asciiTheme="minorHAnsi" w:hAnsiTheme="minorHAnsi" w:cstheme="minorHAnsi"/>
          <w:sz w:val="22"/>
          <w:szCs w:val="22"/>
          <w:lang w:val="fr-FR"/>
        </w:rPr>
      </w:pPr>
      <w:r w:rsidRPr="004B31D6">
        <w:rPr>
          <w:rFonts w:asciiTheme="minorHAnsi" w:hAnsiTheme="minorHAnsi" w:cstheme="minorHAnsi"/>
          <w:sz w:val="22"/>
          <w:szCs w:val="22"/>
          <w:lang w:val="fr-FR"/>
        </w:rPr>
        <w:t>Un des principaux objectifs que nous nous sommes fixés est de créer une plate-forme destinée à un public plus large au sein de l'industrie du meuble, et si possible, étendue sur une période beaucoup plus longue. La plupart des nouveautés que nous mentionnerons dans ce chapitre reflètent cette idée</w:t>
      </w:r>
      <w:r w:rsidR="004C78C0" w:rsidRPr="004B31D6">
        <w:rPr>
          <w:rFonts w:asciiTheme="minorHAnsi" w:hAnsiTheme="minorHAnsi" w:cstheme="minorHAnsi"/>
          <w:sz w:val="22"/>
          <w:szCs w:val="22"/>
          <w:lang w:val="fr-FR"/>
        </w:rPr>
        <w:t>.</w:t>
      </w:r>
    </w:p>
    <w:p w14:paraId="4F08CF55" w14:textId="77777777" w:rsidR="00F0370D" w:rsidRPr="004B31D6" w:rsidRDefault="00F0370D" w:rsidP="004B31D6">
      <w:pPr>
        <w:pStyle w:val="ListParagraph"/>
        <w:ind w:left="0"/>
        <w:rPr>
          <w:rFonts w:asciiTheme="minorHAnsi" w:hAnsiTheme="minorHAnsi" w:cstheme="minorHAnsi"/>
          <w:sz w:val="22"/>
          <w:szCs w:val="22"/>
          <w:lang w:val="fr-FR"/>
        </w:rPr>
      </w:pPr>
    </w:p>
    <w:p w14:paraId="094CDE57" w14:textId="207E67AF" w:rsidR="00EA0A8C" w:rsidRPr="004B31D6" w:rsidRDefault="00EA0A8C" w:rsidP="004B31D6">
      <w:pPr>
        <w:pStyle w:val="ListParagraph"/>
        <w:ind w:left="0"/>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Nous avons commencé par la création d'un nouveau segment sur le </w:t>
      </w:r>
      <w:r w:rsidR="005E5433">
        <w:rPr>
          <w:rFonts w:asciiTheme="minorHAnsi" w:hAnsiTheme="minorHAnsi" w:cstheme="minorHAnsi"/>
          <w:sz w:val="22"/>
          <w:szCs w:val="22"/>
          <w:lang w:val="fr-FR"/>
        </w:rPr>
        <w:t>magasin</w:t>
      </w:r>
      <w:r w:rsidR="005E5433" w:rsidRPr="004B31D6">
        <w:rPr>
          <w:rFonts w:asciiTheme="minorHAnsi" w:hAnsiTheme="minorHAnsi" w:cstheme="minorHAnsi"/>
          <w:sz w:val="22"/>
          <w:szCs w:val="22"/>
          <w:lang w:val="fr-FR"/>
        </w:rPr>
        <w:t xml:space="preserve"> </w:t>
      </w:r>
      <w:r w:rsidR="005E5433">
        <w:rPr>
          <w:rFonts w:asciiTheme="minorHAnsi" w:hAnsiTheme="minorHAnsi" w:cstheme="minorHAnsi"/>
          <w:sz w:val="22"/>
          <w:szCs w:val="22"/>
          <w:lang w:val="fr-FR"/>
        </w:rPr>
        <w:t>de demain</w:t>
      </w:r>
      <w:r w:rsidR="005E5433" w:rsidRPr="004B31D6">
        <w:rPr>
          <w:rFonts w:asciiTheme="minorHAnsi" w:hAnsiTheme="minorHAnsi" w:cstheme="minorHAnsi"/>
          <w:sz w:val="22"/>
          <w:szCs w:val="22"/>
          <w:lang w:val="fr-FR"/>
        </w:rPr>
        <w:t xml:space="preserve"> </w:t>
      </w:r>
      <w:r w:rsidRPr="004B31D6">
        <w:rPr>
          <w:rFonts w:asciiTheme="minorHAnsi" w:hAnsiTheme="minorHAnsi" w:cstheme="minorHAnsi"/>
          <w:sz w:val="22"/>
          <w:szCs w:val="22"/>
          <w:lang w:val="fr-FR"/>
        </w:rPr>
        <w:t xml:space="preserve">: </w:t>
      </w:r>
      <w:r w:rsidR="00585B85" w:rsidRPr="004B31D6">
        <w:rPr>
          <w:rFonts w:asciiTheme="minorHAnsi" w:hAnsiTheme="minorHAnsi" w:cstheme="minorHAnsi"/>
          <w:sz w:val="22"/>
          <w:szCs w:val="22"/>
          <w:lang w:val="fr-FR"/>
        </w:rPr>
        <w:t>« </w:t>
      </w:r>
      <w:r w:rsidRPr="004B31D6">
        <w:rPr>
          <w:rFonts w:asciiTheme="minorHAnsi" w:hAnsiTheme="minorHAnsi" w:cstheme="minorHAnsi"/>
          <w:sz w:val="22"/>
          <w:szCs w:val="22"/>
          <w:lang w:val="fr-FR"/>
        </w:rPr>
        <w:t xml:space="preserve">Bubble </w:t>
      </w:r>
      <w:r w:rsidR="00B0790D">
        <w:rPr>
          <w:rFonts w:asciiTheme="minorHAnsi" w:hAnsiTheme="minorHAnsi" w:cstheme="minorHAnsi"/>
          <w:sz w:val="22"/>
          <w:szCs w:val="22"/>
          <w:lang w:val="fr-FR"/>
        </w:rPr>
        <w:t>U</w:t>
      </w:r>
      <w:r w:rsidRPr="004B31D6">
        <w:rPr>
          <w:rFonts w:asciiTheme="minorHAnsi" w:hAnsiTheme="minorHAnsi" w:cstheme="minorHAnsi"/>
          <w:sz w:val="22"/>
          <w:szCs w:val="22"/>
          <w:lang w:val="fr-FR"/>
        </w:rPr>
        <w:t xml:space="preserve">p </w:t>
      </w:r>
      <w:r w:rsidR="00B0790D">
        <w:rPr>
          <w:rFonts w:asciiTheme="minorHAnsi" w:hAnsiTheme="minorHAnsi" w:cstheme="minorHAnsi"/>
          <w:sz w:val="22"/>
          <w:szCs w:val="22"/>
          <w:lang w:val="fr-FR"/>
        </w:rPr>
        <w:t>Y</w:t>
      </w:r>
      <w:r w:rsidRPr="004B31D6">
        <w:rPr>
          <w:rFonts w:asciiTheme="minorHAnsi" w:hAnsiTheme="minorHAnsi" w:cstheme="minorHAnsi"/>
          <w:sz w:val="22"/>
          <w:szCs w:val="22"/>
          <w:lang w:val="fr-FR"/>
        </w:rPr>
        <w:t>our Store</w:t>
      </w:r>
      <w:r w:rsidR="00585B85" w:rsidRPr="004B31D6">
        <w:rPr>
          <w:rFonts w:asciiTheme="minorHAnsi" w:hAnsiTheme="minorHAnsi" w:cstheme="minorHAnsi"/>
          <w:sz w:val="22"/>
          <w:szCs w:val="22"/>
          <w:lang w:val="fr-FR"/>
        </w:rPr>
        <w:t> »</w:t>
      </w:r>
      <w:r w:rsidRPr="004B31D6">
        <w:rPr>
          <w:rFonts w:asciiTheme="minorHAnsi" w:hAnsiTheme="minorHAnsi" w:cstheme="minorHAnsi"/>
          <w:sz w:val="22"/>
          <w:szCs w:val="22"/>
          <w:lang w:val="fr-FR"/>
        </w:rPr>
        <w:t xml:space="preserve"> est une présentation des services et des produits qui permettent à chaque magasin de meubles d'apporter une valeur ajoutée à leur espace de vente (en ligne et hors ligne) ainsi qu'à leur activité en général. Le client d'aujourd'hui ne s'attend pas seulement à voir des meubles lorsqu'il entre dans un magasin de meubles, car il dispose d'Internet pour le faire. Les clients d'aujourd'hui veulent être accueillis chaleureusement, éprouver un sentiment de bonheur, être inspirés par des meubles individuels dans un aménagement bien pensé, et découvrir des solutions complètes. Chaque sens doit être stimulé de la bonne manière. Nous parlons de marketing olfactif, </w:t>
      </w:r>
      <w:r w:rsidR="005E5433">
        <w:rPr>
          <w:rFonts w:asciiTheme="minorHAnsi" w:hAnsiTheme="minorHAnsi" w:cstheme="minorHAnsi"/>
          <w:sz w:val="22"/>
          <w:szCs w:val="22"/>
          <w:lang w:val="fr-FR"/>
        </w:rPr>
        <w:t>auditif</w:t>
      </w:r>
      <w:r w:rsidRPr="004B31D6">
        <w:rPr>
          <w:rFonts w:asciiTheme="minorHAnsi" w:hAnsiTheme="minorHAnsi" w:cstheme="minorHAnsi"/>
          <w:sz w:val="22"/>
          <w:szCs w:val="22"/>
          <w:lang w:val="fr-FR"/>
        </w:rPr>
        <w:t>, visuel et de soutien direct.</w:t>
      </w:r>
    </w:p>
    <w:p w14:paraId="2006D748" w14:textId="77777777" w:rsidR="00F0370D" w:rsidRPr="004B31D6" w:rsidRDefault="00F0370D" w:rsidP="004B31D6">
      <w:pPr>
        <w:pStyle w:val="ListParagraph"/>
        <w:ind w:left="0"/>
        <w:rPr>
          <w:rFonts w:asciiTheme="minorHAnsi" w:hAnsiTheme="minorHAnsi" w:cstheme="minorHAnsi"/>
          <w:sz w:val="22"/>
          <w:szCs w:val="22"/>
          <w:lang w:val="fr-FR"/>
        </w:rPr>
      </w:pPr>
    </w:p>
    <w:p w14:paraId="40778CC2" w14:textId="2AA8244B" w:rsidR="004C78C0" w:rsidRPr="004B31D6" w:rsidRDefault="000D4673" w:rsidP="004B31D6">
      <w:pPr>
        <w:pStyle w:val="ListParagraph"/>
        <w:ind w:left="0"/>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Comme nous voyons beaucoup de similitudes entre les espaces commerciaux de nos visiteurs et </w:t>
      </w:r>
      <w:r w:rsidR="005E5433">
        <w:rPr>
          <w:rFonts w:asciiTheme="minorHAnsi" w:hAnsiTheme="minorHAnsi" w:cstheme="minorHAnsi"/>
          <w:sz w:val="22"/>
          <w:szCs w:val="22"/>
          <w:lang w:val="fr-FR"/>
        </w:rPr>
        <w:t>notre salon</w:t>
      </w:r>
      <w:r w:rsidRPr="004B31D6">
        <w:rPr>
          <w:rFonts w:asciiTheme="minorHAnsi" w:hAnsiTheme="minorHAnsi" w:cstheme="minorHAnsi"/>
          <w:sz w:val="22"/>
          <w:szCs w:val="22"/>
          <w:lang w:val="fr-FR"/>
        </w:rPr>
        <w:t xml:space="preserve">, permettez-nous de répondre spontanément à une question qui empêche tout le monde de dormir : </w:t>
      </w:r>
      <w:r w:rsidR="00585B85" w:rsidRPr="004B31D6">
        <w:rPr>
          <w:rFonts w:asciiTheme="minorHAnsi" w:hAnsiTheme="minorHAnsi" w:cstheme="minorHAnsi"/>
          <w:sz w:val="22"/>
          <w:szCs w:val="22"/>
          <w:lang w:val="fr-FR"/>
        </w:rPr>
        <w:t>q</w:t>
      </w:r>
      <w:r w:rsidRPr="004B31D6">
        <w:rPr>
          <w:rFonts w:asciiTheme="minorHAnsi" w:hAnsiTheme="minorHAnsi" w:cstheme="minorHAnsi"/>
          <w:sz w:val="22"/>
          <w:szCs w:val="22"/>
          <w:lang w:val="fr-FR"/>
        </w:rPr>
        <w:t xml:space="preserve">uel est l'avenir des foires physiques dans un monde en ligne ? Eh bien, l'idée principale est simple : le commerce en ligne et le commerce physique sont tout simplement inséparables. Il suffit de voir votre doigt tapoter sur l'écran de votre téléphone portable pour comprendre ce que nous voulons dire : l'espace en ligne vient le plus souvent en soutien des aspects physiques. Il est rare qu'il </w:t>
      </w:r>
      <w:r w:rsidR="00585B85" w:rsidRPr="004B31D6">
        <w:rPr>
          <w:rFonts w:asciiTheme="minorHAnsi" w:hAnsiTheme="minorHAnsi" w:cstheme="minorHAnsi"/>
          <w:sz w:val="22"/>
          <w:szCs w:val="22"/>
          <w:lang w:val="fr-FR"/>
        </w:rPr>
        <w:t xml:space="preserve">le </w:t>
      </w:r>
      <w:r w:rsidRPr="004B31D6">
        <w:rPr>
          <w:rFonts w:asciiTheme="minorHAnsi" w:hAnsiTheme="minorHAnsi" w:cstheme="minorHAnsi"/>
          <w:sz w:val="22"/>
          <w:szCs w:val="22"/>
          <w:lang w:val="fr-FR"/>
        </w:rPr>
        <w:t xml:space="preserve">remplace complètement. Pour le dire encore plus simplement : </w:t>
      </w:r>
      <w:r w:rsidR="00585B85" w:rsidRPr="004B31D6">
        <w:rPr>
          <w:rFonts w:asciiTheme="minorHAnsi" w:hAnsiTheme="minorHAnsi" w:cstheme="minorHAnsi"/>
          <w:sz w:val="22"/>
          <w:szCs w:val="22"/>
          <w:lang w:val="fr-FR"/>
        </w:rPr>
        <w:t>p</w:t>
      </w:r>
      <w:r w:rsidRPr="004B31D6">
        <w:rPr>
          <w:rFonts w:asciiTheme="minorHAnsi" w:hAnsiTheme="minorHAnsi" w:cstheme="minorHAnsi"/>
          <w:sz w:val="22"/>
          <w:szCs w:val="22"/>
          <w:lang w:val="fr-FR"/>
        </w:rPr>
        <w:t xml:space="preserve">ersonne ne posera jamais son derrière sur un canapé en ligne pour en tester la </w:t>
      </w:r>
      <w:r w:rsidR="00585B85" w:rsidRPr="004B31D6">
        <w:rPr>
          <w:rFonts w:asciiTheme="minorHAnsi" w:hAnsiTheme="minorHAnsi" w:cstheme="minorHAnsi"/>
          <w:sz w:val="22"/>
          <w:szCs w:val="22"/>
          <w:lang w:val="fr-FR"/>
        </w:rPr>
        <w:t>fermeté</w:t>
      </w:r>
      <w:r w:rsidRPr="004B31D6">
        <w:rPr>
          <w:rFonts w:asciiTheme="minorHAnsi" w:hAnsiTheme="minorHAnsi" w:cstheme="minorHAnsi"/>
          <w:sz w:val="22"/>
          <w:szCs w:val="22"/>
          <w:lang w:val="fr-FR"/>
        </w:rPr>
        <w:t>.</w:t>
      </w:r>
    </w:p>
    <w:p w14:paraId="52032F2D" w14:textId="77777777" w:rsidR="000D4673" w:rsidRPr="004B31D6" w:rsidRDefault="000D4673" w:rsidP="004B31D6">
      <w:pPr>
        <w:pStyle w:val="ListParagraph"/>
        <w:ind w:left="0"/>
        <w:rPr>
          <w:rFonts w:asciiTheme="minorHAnsi" w:hAnsiTheme="minorHAnsi" w:cstheme="minorHAnsi"/>
          <w:sz w:val="22"/>
          <w:szCs w:val="22"/>
          <w:lang w:val="fr-FR"/>
        </w:rPr>
      </w:pPr>
    </w:p>
    <w:p w14:paraId="417DB21C" w14:textId="7AA2985C" w:rsidR="00F0370D" w:rsidRPr="004B31D6" w:rsidRDefault="00F0370D" w:rsidP="004B31D6">
      <w:pPr>
        <w:pStyle w:val="ListParagraph"/>
        <w:ind w:left="0"/>
        <w:rPr>
          <w:rFonts w:asciiTheme="minorHAnsi" w:hAnsiTheme="minorHAnsi" w:cstheme="minorHAnsi"/>
          <w:sz w:val="22"/>
          <w:szCs w:val="22"/>
          <w:lang w:val="fr-FR"/>
        </w:rPr>
      </w:pPr>
      <w:r w:rsidRPr="004B31D6">
        <w:rPr>
          <w:rFonts w:asciiTheme="minorHAnsi" w:hAnsiTheme="minorHAnsi" w:cstheme="minorHAnsi"/>
          <w:sz w:val="22"/>
          <w:szCs w:val="22"/>
          <w:lang w:val="fr-FR"/>
        </w:rPr>
        <w:t xml:space="preserve">À côté de « Bubble </w:t>
      </w:r>
      <w:r w:rsidR="00B0790D">
        <w:rPr>
          <w:rFonts w:asciiTheme="minorHAnsi" w:hAnsiTheme="minorHAnsi" w:cstheme="minorHAnsi"/>
          <w:sz w:val="22"/>
          <w:szCs w:val="22"/>
          <w:lang w:val="fr-FR"/>
        </w:rPr>
        <w:t>U</w:t>
      </w:r>
      <w:r w:rsidRPr="004B31D6">
        <w:rPr>
          <w:rFonts w:asciiTheme="minorHAnsi" w:hAnsiTheme="minorHAnsi" w:cstheme="minorHAnsi"/>
          <w:sz w:val="22"/>
          <w:szCs w:val="22"/>
          <w:lang w:val="fr-FR"/>
        </w:rPr>
        <w:t>p Your Store », nous avons</w:t>
      </w:r>
      <w:r w:rsidR="00600190" w:rsidRPr="004B31D6">
        <w:rPr>
          <w:rFonts w:asciiTheme="minorHAnsi" w:hAnsiTheme="minorHAnsi" w:cstheme="minorHAnsi"/>
          <w:sz w:val="22"/>
          <w:szCs w:val="22"/>
          <w:lang w:val="fr-FR"/>
        </w:rPr>
        <w:t xml:space="preserve"> accru nos efforts pour mettre en avant nos créateurs et écoles de design. Vous y découvrirez les créations de jeunes designers et pourrez aussi y rencontrer des designers dont les modèles sont prêts à </w:t>
      </w:r>
      <w:r w:rsidR="00B0790D" w:rsidRPr="004B31D6">
        <w:rPr>
          <w:rFonts w:asciiTheme="minorHAnsi" w:hAnsiTheme="minorHAnsi" w:cstheme="minorHAnsi"/>
          <w:sz w:val="22"/>
          <w:szCs w:val="22"/>
          <w:lang w:val="fr-FR"/>
        </w:rPr>
        <w:t>entrer</w:t>
      </w:r>
      <w:r w:rsidR="00600190" w:rsidRPr="004B31D6">
        <w:rPr>
          <w:rFonts w:asciiTheme="minorHAnsi" w:hAnsiTheme="minorHAnsi" w:cstheme="minorHAnsi"/>
          <w:sz w:val="22"/>
          <w:szCs w:val="22"/>
          <w:lang w:val="fr-FR"/>
        </w:rPr>
        <w:t xml:space="preserve"> sur le marché.</w:t>
      </w:r>
    </w:p>
    <w:p w14:paraId="4888A752" w14:textId="7B0C176A" w:rsidR="00600190" w:rsidRDefault="00600190" w:rsidP="004B31D6">
      <w:pPr>
        <w:pStyle w:val="ListParagraph"/>
        <w:ind w:left="0"/>
        <w:rPr>
          <w:rFonts w:asciiTheme="minorHAnsi" w:hAnsiTheme="minorHAnsi" w:cstheme="minorHAnsi"/>
          <w:sz w:val="22"/>
          <w:szCs w:val="22"/>
          <w:lang w:val="fr-FR"/>
        </w:rPr>
      </w:pPr>
    </w:p>
    <w:p w14:paraId="19EB2CDB" w14:textId="6E247E09" w:rsidR="00C964BC" w:rsidRDefault="00C964BC" w:rsidP="004B31D6">
      <w:pPr>
        <w:pStyle w:val="ListParagraph"/>
        <w:ind w:left="0"/>
        <w:rPr>
          <w:rFonts w:asciiTheme="minorHAnsi" w:hAnsiTheme="minorHAnsi" w:cstheme="minorHAnsi"/>
          <w:sz w:val="22"/>
          <w:szCs w:val="22"/>
          <w:lang w:val="fr-FR"/>
        </w:rPr>
      </w:pPr>
    </w:p>
    <w:p w14:paraId="09040D1E" w14:textId="7B77F676" w:rsidR="00C964BC" w:rsidRDefault="00C964BC" w:rsidP="004B31D6">
      <w:pPr>
        <w:pStyle w:val="ListParagraph"/>
        <w:ind w:left="0"/>
        <w:rPr>
          <w:rFonts w:asciiTheme="minorHAnsi" w:hAnsiTheme="minorHAnsi" w:cstheme="minorHAnsi"/>
          <w:sz w:val="22"/>
          <w:szCs w:val="22"/>
          <w:lang w:val="fr-FR"/>
        </w:rPr>
      </w:pPr>
    </w:p>
    <w:p w14:paraId="44370068" w14:textId="77777777" w:rsidR="00C964BC" w:rsidRPr="004B31D6" w:rsidRDefault="00C964BC" w:rsidP="004B31D6">
      <w:pPr>
        <w:pStyle w:val="ListParagraph"/>
        <w:ind w:left="0"/>
        <w:rPr>
          <w:rFonts w:asciiTheme="minorHAnsi" w:hAnsiTheme="minorHAnsi" w:cstheme="minorHAnsi"/>
          <w:sz w:val="22"/>
          <w:szCs w:val="22"/>
          <w:lang w:val="fr-FR"/>
        </w:rPr>
      </w:pPr>
    </w:p>
    <w:p w14:paraId="3D87BFF1" w14:textId="7C24CD94" w:rsidR="00600190" w:rsidRPr="004B31D6" w:rsidRDefault="00600190" w:rsidP="004B31D6">
      <w:pPr>
        <w:pStyle w:val="ListParagraph"/>
        <w:ind w:left="0"/>
        <w:rPr>
          <w:rFonts w:asciiTheme="minorHAnsi" w:hAnsiTheme="minorHAnsi" w:cstheme="minorHAnsi"/>
          <w:sz w:val="22"/>
          <w:szCs w:val="22"/>
          <w:lang w:val="fr-FR"/>
        </w:rPr>
      </w:pPr>
      <w:r w:rsidRPr="004B31D6">
        <w:rPr>
          <w:rFonts w:asciiTheme="minorHAnsi" w:hAnsiTheme="minorHAnsi" w:cstheme="minorHAnsi"/>
          <w:sz w:val="22"/>
          <w:szCs w:val="22"/>
          <w:lang w:val="fr-FR"/>
        </w:rPr>
        <w:lastRenderedPageBreak/>
        <w:t xml:space="preserve">Nous avons également prévu bien à l’avance de réserver un espace dans le palais 6 où tous les fabricants de literie qui n’exposent pas à Brussels by Night </w:t>
      </w:r>
      <w:r w:rsidR="00B0790D" w:rsidRPr="004B31D6">
        <w:rPr>
          <w:rFonts w:asciiTheme="minorHAnsi" w:hAnsiTheme="minorHAnsi" w:cstheme="minorHAnsi"/>
          <w:sz w:val="22"/>
          <w:szCs w:val="22"/>
          <w:lang w:val="fr-FR"/>
        </w:rPr>
        <w:t>aur</w:t>
      </w:r>
      <w:r w:rsidRPr="004B31D6">
        <w:rPr>
          <w:rFonts w:asciiTheme="minorHAnsi" w:hAnsiTheme="minorHAnsi" w:cstheme="minorHAnsi"/>
          <w:sz w:val="22"/>
          <w:szCs w:val="22"/>
          <w:lang w:val="fr-FR"/>
        </w:rPr>
        <w:t>ont l’opportunité d’exposer leurs produits aux visiteurs spécifiques de ce palais, qui autrement pourraient les manquer lors de leur visite à Bruxelles. Vous les retrouverez au stand 6-307 « The Woods ».</w:t>
      </w:r>
    </w:p>
    <w:p w14:paraId="3569A633" w14:textId="77777777" w:rsidR="00600190" w:rsidRPr="004B31D6" w:rsidRDefault="00600190" w:rsidP="004B31D6">
      <w:pPr>
        <w:pStyle w:val="ListParagraph"/>
        <w:ind w:left="0"/>
        <w:rPr>
          <w:rFonts w:asciiTheme="minorHAnsi" w:hAnsiTheme="minorHAnsi" w:cstheme="minorHAnsi"/>
          <w:sz w:val="22"/>
          <w:szCs w:val="22"/>
          <w:lang w:val="fr-FR"/>
        </w:rPr>
      </w:pPr>
    </w:p>
    <w:p w14:paraId="327E63C1" w14:textId="1D2BFF01" w:rsidR="00600190" w:rsidRPr="004B31D6" w:rsidRDefault="00600190" w:rsidP="004B31D6">
      <w:pPr>
        <w:pStyle w:val="ListParagraph"/>
        <w:ind w:left="0"/>
        <w:rPr>
          <w:rFonts w:asciiTheme="minorHAnsi" w:hAnsiTheme="minorHAnsi" w:cstheme="minorHAnsi"/>
          <w:sz w:val="22"/>
          <w:szCs w:val="22"/>
          <w:lang w:val="fr-FR"/>
        </w:rPr>
      </w:pPr>
      <w:r w:rsidRPr="004B31D6">
        <w:rPr>
          <w:rFonts w:asciiTheme="minorHAnsi" w:hAnsiTheme="minorHAnsi" w:cstheme="minorHAnsi"/>
          <w:sz w:val="22"/>
          <w:szCs w:val="22"/>
          <w:lang w:val="fr-FR"/>
        </w:rPr>
        <w:t>Enfin, et comme annoncé plus tôt, nous sommes convaincus que le physique et le virtuel sont destinés à se compléter. C’est pourquoi nous avons lancé un nouvea</w:t>
      </w:r>
      <w:r w:rsidR="00B0790D">
        <w:rPr>
          <w:rFonts w:asciiTheme="minorHAnsi" w:hAnsiTheme="minorHAnsi" w:cstheme="minorHAnsi"/>
          <w:sz w:val="22"/>
          <w:szCs w:val="22"/>
          <w:lang w:val="fr-FR"/>
        </w:rPr>
        <w:t>u</w:t>
      </w:r>
      <w:r w:rsidRPr="004B31D6">
        <w:rPr>
          <w:rFonts w:asciiTheme="minorHAnsi" w:hAnsiTheme="minorHAnsi" w:cstheme="minorHAnsi"/>
          <w:sz w:val="22"/>
          <w:szCs w:val="22"/>
          <w:lang w:val="fr-FR"/>
        </w:rPr>
        <w:t xml:space="preserve"> blog, alimenté d</w:t>
      </w:r>
      <w:r w:rsidR="00B0790D" w:rsidRPr="004B31D6">
        <w:rPr>
          <w:rFonts w:asciiTheme="minorHAnsi" w:hAnsiTheme="minorHAnsi" w:cstheme="minorHAnsi"/>
          <w:sz w:val="22"/>
          <w:szCs w:val="22"/>
          <w:lang w:val="fr-FR"/>
        </w:rPr>
        <w:t>’un</w:t>
      </w:r>
      <w:r w:rsidRPr="004B31D6">
        <w:rPr>
          <w:rFonts w:asciiTheme="minorHAnsi" w:hAnsiTheme="minorHAnsi" w:cstheme="minorHAnsi"/>
          <w:sz w:val="22"/>
          <w:szCs w:val="22"/>
          <w:lang w:val="fr-FR"/>
        </w:rPr>
        <w:t xml:space="preserve">e newsletter intitulée « BRUSSELS FURNITURE afFAIR ». </w:t>
      </w:r>
      <w:r w:rsidR="00B0790D" w:rsidRPr="004B31D6">
        <w:rPr>
          <w:rFonts w:asciiTheme="minorHAnsi" w:hAnsiTheme="minorHAnsi" w:cstheme="minorHAnsi"/>
          <w:sz w:val="22"/>
          <w:szCs w:val="22"/>
          <w:lang w:val="fr-FR"/>
        </w:rPr>
        <w:t>Ces articles remplaceront notre habituel magazine BE. Pour nous, ce blog est aussi l’occasion d’offrir une visibilité accrue à nos exposants en dehors des quatre jours du salon. Le nom parle de lui-même : vous y découvrirez tout ce qui se trame pendant le Salon du Meuble ainsi que les différents participants. Si vous n’avez pas reçu la newsletter, n’hésitez pas à nous le faire savoir !</w:t>
      </w:r>
    </w:p>
    <w:p w14:paraId="3A9F3E64" w14:textId="77777777" w:rsidR="00B0790D" w:rsidRPr="004B31D6" w:rsidRDefault="00B0790D" w:rsidP="004B31D6">
      <w:pPr>
        <w:pStyle w:val="ListParagraph"/>
        <w:ind w:left="0"/>
        <w:rPr>
          <w:rFonts w:asciiTheme="minorHAnsi" w:hAnsiTheme="minorHAnsi" w:cstheme="minorHAnsi"/>
          <w:sz w:val="22"/>
          <w:szCs w:val="22"/>
          <w:lang w:val="fr-FR"/>
        </w:rPr>
      </w:pPr>
    </w:p>
    <w:p w14:paraId="0A29514E" w14:textId="77777777" w:rsidR="00B0790D" w:rsidRPr="004B31D6" w:rsidRDefault="00B0790D" w:rsidP="004B31D6">
      <w:pPr>
        <w:pStyle w:val="ListParagraph"/>
        <w:ind w:left="0"/>
        <w:rPr>
          <w:rFonts w:asciiTheme="minorHAnsi" w:hAnsiTheme="minorHAnsi" w:cstheme="minorHAnsi"/>
          <w:sz w:val="22"/>
          <w:szCs w:val="22"/>
          <w:lang w:val="fr-FR"/>
        </w:rPr>
      </w:pPr>
    </w:p>
    <w:p w14:paraId="6E20E20B" w14:textId="7556C762" w:rsidR="00B0790D" w:rsidRPr="004B31D6" w:rsidRDefault="00B0790D" w:rsidP="004B31D6">
      <w:pPr>
        <w:pStyle w:val="ListParagraph"/>
        <w:ind w:left="0"/>
        <w:rPr>
          <w:rFonts w:asciiTheme="minorHAnsi" w:hAnsiTheme="minorHAnsi" w:cstheme="minorHAnsi"/>
          <w:sz w:val="22"/>
          <w:szCs w:val="22"/>
          <w:lang w:val="fr-FR"/>
        </w:rPr>
      </w:pPr>
      <w:r w:rsidRPr="004B31D6">
        <w:rPr>
          <w:rFonts w:asciiTheme="minorHAnsi" w:hAnsiTheme="minorHAnsi" w:cstheme="minorHAnsi"/>
          <w:sz w:val="22"/>
          <w:szCs w:val="22"/>
          <w:lang w:val="fr-FR"/>
        </w:rPr>
        <w:t>Pour conclure, nous tenons à vous remercier une fois de plus pour votre présence et votre attention. Nous faisons de notre mieux pour être à votre disposition, donc n’hésitez pas à venir nous voir et nous nous ferons un plaisir de prendre le temps de répondre à vos questions !</w:t>
      </w:r>
    </w:p>
    <w:p w14:paraId="136F78C1" w14:textId="77777777" w:rsidR="00600190" w:rsidRPr="004B31D6" w:rsidRDefault="00600190" w:rsidP="004B31D6">
      <w:pPr>
        <w:pStyle w:val="ListParagraph"/>
        <w:ind w:left="0"/>
        <w:rPr>
          <w:rFonts w:asciiTheme="minorHAnsi" w:hAnsiTheme="minorHAnsi" w:cstheme="minorHAnsi"/>
          <w:sz w:val="22"/>
          <w:szCs w:val="22"/>
          <w:lang w:val="fr-FR"/>
        </w:rPr>
      </w:pPr>
    </w:p>
    <w:p w14:paraId="01636562" w14:textId="77777777" w:rsidR="00735310" w:rsidRPr="004B31D6" w:rsidRDefault="00735310" w:rsidP="004B31D6">
      <w:pPr>
        <w:pStyle w:val="ListParagraph"/>
        <w:ind w:left="0"/>
        <w:rPr>
          <w:lang w:val="fr-BE"/>
        </w:rPr>
      </w:pPr>
    </w:p>
    <w:sectPr w:rsidR="00735310" w:rsidRPr="004B31D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0EBE" w14:textId="77777777" w:rsidR="00434BC9" w:rsidRDefault="00434BC9" w:rsidP="00585B85">
      <w:pPr>
        <w:spacing w:after="0" w:line="240" w:lineRule="auto"/>
      </w:pPr>
      <w:r>
        <w:separator/>
      </w:r>
    </w:p>
  </w:endnote>
  <w:endnote w:type="continuationSeparator" w:id="0">
    <w:p w14:paraId="48995EC1" w14:textId="77777777" w:rsidR="00434BC9" w:rsidRDefault="00434BC9" w:rsidP="0058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panose1 w:val="00000000000000000000"/>
    <w:charset w:val="00"/>
    <w:family w:val="swiss"/>
    <w:notTrueType/>
    <w:pitch w:val="variable"/>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1EF2" w14:textId="77777777" w:rsidR="00585B85" w:rsidRDefault="00585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8C70" w14:textId="77777777" w:rsidR="00585B85" w:rsidRDefault="00585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5DA8" w14:textId="77777777" w:rsidR="00585B85" w:rsidRDefault="0058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70E8" w14:textId="77777777" w:rsidR="00434BC9" w:rsidRDefault="00434BC9" w:rsidP="00585B85">
      <w:pPr>
        <w:spacing w:after="0" w:line="240" w:lineRule="auto"/>
      </w:pPr>
      <w:r>
        <w:separator/>
      </w:r>
    </w:p>
  </w:footnote>
  <w:footnote w:type="continuationSeparator" w:id="0">
    <w:p w14:paraId="558BE9F5" w14:textId="77777777" w:rsidR="00434BC9" w:rsidRDefault="00434BC9" w:rsidP="0058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AF31" w14:textId="77777777" w:rsidR="00585B85" w:rsidRDefault="00585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D26" w14:textId="77777777" w:rsidR="00585B85" w:rsidRDefault="00585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F1CE" w14:textId="77777777" w:rsidR="00585B85" w:rsidRDefault="0058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29FBC"/>
    <w:lvl w:ilvl="0">
      <w:numFmt w:val="decimal"/>
      <w:lvlText w:val="*"/>
      <w:lvlJc w:val="left"/>
    </w:lvl>
  </w:abstractNum>
  <w:abstractNum w:abstractNumId="1" w15:restartNumberingAfterBreak="0">
    <w:nsid w:val="06B201B1"/>
    <w:multiLevelType w:val="hybridMultilevel"/>
    <w:tmpl w:val="EDFA1368"/>
    <w:lvl w:ilvl="0" w:tplc="8218753A">
      <w:start w:val="1000"/>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12BE42B2"/>
    <w:multiLevelType w:val="hybridMultilevel"/>
    <w:tmpl w:val="C0A0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254629"/>
    <w:multiLevelType w:val="hybridMultilevel"/>
    <w:tmpl w:val="3C3A0746"/>
    <w:lvl w:ilvl="0" w:tplc="715E9658">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15:restartNumberingAfterBreak="0">
    <w:nsid w:val="25F32229"/>
    <w:multiLevelType w:val="hybridMultilevel"/>
    <w:tmpl w:val="A282CF84"/>
    <w:lvl w:ilvl="0" w:tplc="B7165FE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DD92BF8"/>
    <w:multiLevelType w:val="hybridMultilevel"/>
    <w:tmpl w:val="B058B518"/>
    <w:lvl w:ilvl="0" w:tplc="2C08AE56">
      <w:start w:val="3191"/>
      <w:numFmt w:val="decimal"/>
      <w:lvlText w:val="%1"/>
      <w:lvlJc w:val="left"/>
      <w:pPr>
        <w:tabs>
          <w:tab w:val="num" w:pos="5655"/>
        </w:tabs>
        <w:ind w:left="5655" w:hanging="555"/>
      </w:pPr>
      <w:rPr>
        <w:rFonts w:hint="default"/>
      </w:rPr>
    </w:lvl>
    <w:lvl w:ilvl="1" w:tplc="04130019" w:tentative="1">
      <w:start w:val="1"/>
      <w:numFmt w:val="lowerLetter"/>
      <w:lvlText w:val="%2."/>
      <w:lvlJc w:val="left"/>
      <w:pPr>
        <w:tabs>
          <w:tab w:val="num" w:pos="6180"/>
        </w:tabs>
        <w:ind w:left="6180" w:hanging="360"/>
      </w:pPr>
    </w:lvl>
    <w:lvl w:ilvl="2" w:tplc="0413001B" w:tentative="1">
      <w:start w:val="1"/>
      <w:numFmt w:val="lowerRoman"/>
      <w:lvlText w:val="%3."/>
      <w:lvlJc w:val="right"/>
      <w:pPr>
        <w:tabs>
          <w:tab w:val="num" w:pos="6900"/>
        </w:tabs>
        <w:ind w:left="6900" w:hanging="180"/>
      </w:pPr>
    </w:lvl>
    <w:lvl w:ilvl="3" w:tplc="0413000F" w:tentative="1">
      <w:start w:val="1"/>
      <w:numFmt w:val="decimal"/>
      <w:lvlText w:val="%4."/>
      <w:lvlJc w:val="left"/>
      <w:pPr>
        <w:tabs>
          <w:tab w:val="num" w:pos="7620"/>
        </w:tabs>
        <w:ind w:left="7620" w:hanging="360"/>
      </w:pPr>
    </w:lvl>
    <w:lvl w:ilvl="4" w:tplc="04130019" w:tentative="1">
      <w:start w:val="1"/>
      <w:numFmt w:val="lowerLetter"/>
      <w:lvlText w:val="%5."/>
      <w:lvlJc w:val="left"/>
      <w:pPr>
        <w:tabs>
          <w:tab w:val="num" w:pos="8340"/>
        </w:tabs>
        <w:ind w:left="8340" w:hanging="360"/>
      </w:pPr>
    </w:lvl>
    <w:lvl w:ilvl="5" w:tplc="0413001B" w:tentative="1">
      <w:start w:val="1"/>
      <w:numFmt w:val="lowerRoman"/>
      <w:lvlText w:val="%6."/>
      <w:lvlJc w:val="right"/>
      <w:pPr>
        <w:tabs>
          <w:tab w:val="num" w:pos="9060"/>
        </w:tabs>
        <w:ind w:left="9060" w:hanging="180"/>
      </w:pPr>
    </w:lvl>
    <w:lvl w:ilvl="6" w:tplc="0413000F" w:tentative="1">
      <w:start w:val="1"/>
      <w:numFmt w:val="decimal"/>
      <w:lvlText w:val="%7."/>
      <w:lvlJc w:val="left"/>
      <w:pPr>
        <w:tabs>
          <w:tab w:val="num" w:pos="9780"/>
        </w:tabs>
        <w:ind w:left="9780" w:hanging="360"/>
      </w:pPr>
    </w:lvl>
    <w:lvl w:ilvl="7" w:tplc="04130019" w:tentative="1">
      <w:start w:val="1"/>
      <w:numFmt w:val="lowerLetter"/>
      <w:lvlText w:val="%8."/>
      <w:lvlJc w:val="left"/>
      <w:pPr>
        <w:tabs>
          <w:tab w:val="num" w:pos="10500"/>
        </w:tabs>
        <w:ind w:left="10500" w:hanging="360"/>
      </w:pPr>
    </w:lvl>
    <w:lvl w:ilvl="8" w:tplc="0413001B" w:tentative="1">
      <w:start w:val="1"/>
      <w:numFmt w:val="lowerRoman"/>
      <w:lvlText w:val="%9."/>
      <w:lvlJc w:val="right"/>
      <w:pPr>
        <w:tabs>
          <w:tab w:val="num" w:pos="11220"/>
        </w:tabs>
        <w:ind w:left="11220" w:hanging="180"/>
      </w:pPr>
    </w:lvl>
  </w:abstractNum>
  <w:abstractNum w:abstractNumId="6" w15:restartNumberingAfterBreak="0">
    <w:nsid w:val="34F965C0"/>
    <w:multiLevelType w:val="hybridMultilevel"/>
    <w:tmpl w:val="84FACF5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A214C49"/>
    <w:multiLevelType w:val="hybridMultilevel"/>
    <w:tmpl w:val="D68C707E"/>
    <w:lvl w:ilvl="0" w:tplc="CE38C85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A91568"/>
    <w:multiLevelType w:val="hybridMultilevel"/>
    <w:tmpl w:val="B128E5BE"/>
    <w:lvl w:ilvl="0" w:tplc="71101568">
      <w:start w:val="10"/>
      <w:numFmt w:val="bullet"/>
      <w:lvlText w:val="-"/>
      <w:lvlJc w:val="left"/>
      <w:pPr>
        <w:ind w:left="720" w:hanging="360"/>
      </w:pPr>
      <w:rPr>
        <w:rFonts w:ascii="Myriad Web Pro" w:eastAsia="Times New Roman" w:hAnsi="Myriad Web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F96A79"/>
    <w:multiLevelType w:val="hybridMultilevel"/>
    <w:tmpl w:val="725494DE"/>
    <w:lvl w:ilvl="0" w:tplc="F9A4AFF2">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0" w15:restartNumberingAfterBreak="0">
    <w:nsid w:val="4271267B"/>
    <w:multiLevelType w:val="hybridMultilevel"/>
    <w:tmpl w:val="97E6CA8A"/>
    <w:lvl w:ilvl="0" w:tplc="A4A86E8E">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D23F08"/>
    <w:multiLevelType w:val="hybridMultilevel"/>
    <w:tmpl w:val="9FD64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B72E8E"/>
    <w:multiLevelType w:val="hybridMultilevel"/>
    <w:tmpl w:val="90D2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A72407"/>
    <w:multiLevelType w:val="hybridMultilevel"/>
    <w:tmpl w:val="FE6AAD18"/>
    <w:lvl w:ilvl="0" w:tplc="43B83A24">
      <w:numFmt w:val="bullet"/>
      <w:lvlText w:val="-"/>
      <w:lvlJc w:val="left"/>
      <w:pPr>
        <w:ind w:left="720" w:hanging="360"/>
      </w:pPr>
      <w:rPr>
        <w:rFonts w:ascii="Myriad Pro" w:eastAsia="Times New Roman" w:hAnsi="Myriad Pro"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E504FA"/>
    <w:multiLevelType w:val="hybridMultilevel"/>
    <w:tmpl w:val="1B6072EA"/>
    <w:lvl w:ilvl="0" w:tplc="64881258">
      <w:start w:val="1"/>
      <w:numFmt w:val="bullet"/>
      <w:lvlText w:val=""/>
      <w:lvlJc w:val="left"/>
      <w:pPr>
        <w:tabs>
          <w:tab w:val="num" w:pos="567"/>
        </w:tabs>
        <w:ind w:left="567" w:hanging="567"/>
      </w:pPr>
      <w:rPr>
        <w:rFonts w:ascii="Wingdings 3" w:hAnsi="Wingdings 3"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F1E61"/>
    <w:multiLevelType w:val="hybridMultilevel"/>
    <w:tmpl w:val="3C724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701997"/>
    <w:multiLevelType w:val="hybridMultilevel"/>
    <w:tmpl w:val="16F40BCE"/>
    <w:lvl w:ilvl="0" w:tplc="04F8E55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831E82"/>
    <w:multiLevelType w:val="multilevel"/>
    <w:tmpl w:val="397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077906">
    <w:abstractNumId w:val="0"/>
    <w:lvlOverride w:ilvl="0">
      <w:lvl w:ilvl="0">
        <w:numFmt w:val="bullet"/>
        <w:lvlText w:val=""/>
        <w:legacy w:legacy="1" w:legacySpace="0" w:legacyIndent="0"/>
        <w:lvlJc w:val="left"/>
        <w:rPr>
          <w:rFonts w:ascii="Symbol" w:hAnsi="Symbol" w:hint="default"/>
        </w:rPr>
      </w:lvl>
    </w:lvlOverride>
  </w:num>
  <w:num w:numId="2" w16cid:durableId="1719939177">
    <w:abstractNumId w:val="10"/>
  </w:num>
  <w:num w:numId="3" w16cid:durableId="1368874973">
    <w:abstractNumId w:val="5"/>
  </w:num>
  <w:num w:numId="4" w16cid:durableId="1586262477">
    <w:abstractNumId w:val="13"/>
  </w:num>
  <w:num w:numId="5" w16cid:durableId="8791285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9140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3479227">
    <w:abstractNumId w:val="11"/>
  </w:num>
  <w:num w:numId="8" w16cid:durableId="151455271">
    <w:abstractNumId w:val="1"/>
  </w:num>
  <w:num w:numId="9" w16cid:durableId="6099799">
    <w:abstractNumId w:val="12"/>
  </w:num>
  <w:num w:numId="10" w16cid:durableId="1051005460">
    <w:abstractNumId w:val="4"/>
  </w:num>
  <w:num w:numId="11" w16cid:durableId="2067683149">
    <w:abstractNumId w:val="17"/>
  </w:num>
  <w:num w:numId="12" w16cid:durableId="1262494915">
    <w:abstractNumId w:val="14"/>
  </w:num>
  <w:num w:numId="13" w16cid:durableId="1874608010">
    <w:abstractNumId w:val="8"/>
  </w:num>
  <w:num w:numId="14" w16cid:durableId="1337152864">
    <w:abstractNumId w:val="16"/>
  </w:num>
  <w:num w:numId="15" w16cid:durableId="606815533">
    <w:abstractNumId w:val="15"/>
  </w:num>
  <w:num w:numId="16" w16cid:durableId="801314342">
    <w:abstractNumId w:val="2"/>
  </w:num>
  <w:num w:numId="17" w16cid:durableId="480584136">
    <w:abstractNumId w:val="7"/>
  </w:num>
  <w:num w:numId="18" w16cid:durableId="1095246013">
    <w:abstractNumId w:val="3"/>
  </w:num>
  <w:num w:numId="19" w16cid:durableId="2136486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310"/>
    <w:rsid w:val="00033A41"/>
    <w:rsid w:val="000A3399"/>
    <w:rsid w:val="000C4A48"/>
    <w:rsid w:val="000D4673"/>
    <w:rsid w:val="000E262A"/>
    <w:rsid w:val="00197E47"/>
    <w:rsid w:val="001A129A"/>
    <w:rsid w:val="001E2C5F"/>
    <w:rsid w:val="001F3593"/>
    <w:rsid w:val="0023234D"/>
    <w:rsid w:val="002834B7"/>
    <w:rsid w:val="002911CB"/>
    <w:rsid w:val="002928FF"/>
    <w:rsid w:val="002F39F2"/>
    <w:rsid w:val="003A3362"/>
    <w:rsid w:val="0041467A"/>
    <w:rsid w:val="00420DC9"/>
    <w:rsid w:val="00434BC9"/>
    <w:rsid w:val="00483A1C"/>
    <w:rsid w:val="00483CD1"/>
    <w:rsid w:val="00486AD0"/>
    <w:rsid w:val="004B31D6"/>
    <w:rsid w:val="004C78C0"/>
    <w:rsid w:val="00512444"/>
    <w:rsid w:val="00512CA5"/>
    <w:rsid w:val="00536AE5"/>
    <w:rsid w:val="00556570"/>
    <w:rsid w:val="00585B85"/>
    <w:rsid w:val="005A63BD"/>
    <w:rsid w:val="005D2951"/>
    <w:rsid w:val="005E5433"/>
    <w:rsid w:val="005F0D0F"/>
    <w:rsid w:val="005F49CD"/>
    <w:rsid w:val="00600190"/>
    <w:rsid w:val="00605AD8"/>
    <w:rsid w:val="00612964"/>
    <w:rsid w:val="00620314"/>
    <w:rsid w:val="00647B06"/>
    <w:rsid w:val="00654255"/>
    <w:rsid w:val="00685F6B"/>
    <w:rsid w:val="0068724D"/>
    <w:rsid w:val="006C0525"/>
    <w:rsid w:val="00735310"/>
    <w:rsid w:val="00737F70"/>
    <w:rsid w:val="00783618"/>
    <w:rsid w:val="00785909"/>
    <w:rsid w:val="00857B78"/>
    <w:rsid w:val="008E4B58"/>
    <w:rsid w:val="00AD36C0"/>
    <w:rsid w:val="00B00907"/>
    <w:rsid w:val="00B0790D"/>
    <w:rsid w:val="00B13D9C"/>
    <w:rsid w:val="00B8152E"/>
    <w:rsid w:val="00B8579A"/>
    <w:rsid w:val="00BE68F4"/>
    <w:rsid w:val="00BF1717"/>
    <w:rsid w:val="00C54DFF"/>
    <w:rsid w:val="00C601E4"/>
    <w:rsid w:val="00C964BC"/>
    <w:rsid w:val="00CE2796"/>
    <w:rsid w:val="00D022C7"/>
    <w:rsid w:val="00D16ED2"/>
    <w:rsid w:val="00D271BD"/>
    <w:rsid w:val="00D431E5"/>
    <w:rsid w:val="00D5244A"/>
    <w:rsid w:val="00D80BA5"/>
    <w:rsid w:val="00D90AA2"/>
    <w:rsid w:val="00D913A7"/>
    <w:rsid w:val="00DE36CD"/>
    <w:rsid w:val="00E06BA1"/>
    <w:rsid w:val="00E271ED"/>
    <w:rsid w:val="00E51821"/>
    <w:rsid w:val="00E8327E"/>
    <w:rsid w:val="00EA0A8C"/>
    <w:rsid w:val="00EA43A2"/>
    <w:rsid w:val="00ED77E9"/>
    <w:rsid w:val="00EF2584"/>
    <w:rsid w:val="00F0370D"/>
    <w:rsid w:val="00F6785F"/>
    <w:rsid w:val="00F91E56"/>
    <w:rsid w:val="00F97B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A6CD"/>
  <w15:docId w15:val="{ABB35C46-64AC-4712-A87C-3602F29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16ED2"/>
    <w:pPr>
      <w:keepNext/>
      <w:tabs>
        <w:tab w:val="left" w:pos="3884"/>
      </w:tabs>
      <w:overflowPunct w:val="0"/>
      <w:autoSpaceDE w:val="0"/>
      <w:autoSpaceDN w:val="0"/>
      <w:adjustRightInd w:val="0"/>
      <w:spacing w:after="0" w:line="240" w:lineRule="auto"/>
      <w:ind w:right="28"/>
      <w:textAlignment w:val="baseline"/>
      <w:outlineLvl w:val="0"/>
    </w:pPr>
    <w:rPr>
      <w:rFonts w:ascii="Calisto MT" w:eastAsia="Times New Roman" w:hAnsi="Calisto MT" w:cs="Lucida Sans Unicode"/>
      <w:i/>
      <w:iCs/>
      <w:noProof/>
      <w:sz w:val="18"/>
      <w:szCs w:val="20"/>
      <w:lang w:val="nl-BE" w:eastAsia="nl-NL"/>
    </w:rPr>
  </w:style>
  <w:style w:type="paragraph" w:styleId="Heading2">
    <w:name w:val="heading 2"/>
    <w:basedOn w:val="Normal"/>
    <w:next w:val="Normal"/>
    <w:link w:val="Heading2Char"/>
    <w:uiPriority w:val="99"/>
    <w:qFormat/>
    <w:rsid w:val="00D16ED2"/>
    <w:pPr>
      <w:keepNext/>
      <w:tabs>
        <w:tab w:val="left" w:pos="4678"/>
      </w:tabs>
      <w:overflowPunct w:val="0"/>
      <w:autoSpaceDE w:val="0"/>
      <w:autoSpaceDN w:val="0"/>
      <w:adjustRightInd w:val="0"/>
      <w:spacing w:after="0" w:line="240" w:lineRule="auto"/>
      <w:jc w:val="both"/>
      <w:textAlignment w:val="baseline"/>
      <w:outlineLvl w:val="1"/>
    </w:pPr>
    <w:rPr>
      <w:rFonts w:ascii="Univers" w:eastAsia="Times New Roman" w:hAnsi="Univers" w:cs="Times New Roman"/>
      <w:noProof/>
      <w:sz w:val="24"/>
      <w:szCs w:val="20"/>
      <w:lang w:val="nl-BE" w:eastAsia="nl-NL"/>
    </w:rPr>
  </w:style>
  <w:style w:type="paragraph" w:styleId="Heading3">
    <w:name w:val="heading 3"/>
    <w:basedOn w:val="Normal"/>
    <w:next w:val="Normal"/>
    <w:link w:val="Heading3Char"/>
    <w:uiPriority w:val="99"/>
    <w:qFormat/>
    <w:rsid w:val="00D16ED2"/>
    <w:pPr>
      <w:keepNext/>
      <w:overflowPunct w:val="0"/>
      <w:autoSpaceDE w:val="0"/>
      <w:autoSpaceDN w:val="0"/>
      <w:adjustRightInd w:val="0"/>
      <w:spacing w:after="0" w:line="240" w:lineRule="auto"/>
      <w:ind w:right="28"/>
      <w:textAlignment w:val="baseline"/>
      <w:outlineLvl w:val="2"/>
    </w:pPr>
    <w:rPr>
      <w:rFonts w:ascii="Univers" w:eastAsia="Times New Roman" w:hAnsi="Univers" w:cs="Lucida Sans Unicode"/>
      <w:b/>
      <w:bCs/>
      <w:noProof/>
      <w:szCs w:val="20"/>
      <w:lang w:val="nl-BE" w:eastAsia="nl-NL"/>
    </w:rPr>
  </w:style>
  <w:style w:type="paragraph" w:styleId="Heading4">
    <w:name w:val="heading 4"/>
    <w:basedOn w:val="Normal"/>
    <w:next w:val="Normal"/>
    <w:link w:val="Heading4Char"/>
    <w:uiPriority w:val="99"/>
    <w:qFormat/>
    <w:rsid w:val="00D16ED2"/>
    <w:pPr>
      <w:keepNext/>
      <w:overflowPunct w:val="0"/>
      <w:autoSpaceDE w:val="0"/>
      <w:autoSpaceDN w:val="0"/>
      <w:adjustRightInd w:val="0"/>
      <w:spacing w:after="0" w:line="240" w:lineRule="auto"/>
      <w:ind w:right="28"/>
      <w:textAlignment w:val="baseline"/>
      <w:outlineLvl w:val="3"/>
    </w:pPr>
    <w:rPr>
      <w:rFonts w:ascii="Univers" w:eastAsia="Times New Roman" w:hAnsi="Univers" w:cs="Lucida Sans Unicode"/>
      <w:noProof/>
      <w:szCs w:val="20"/>
      <w:u w:val="single"/>
      <w:lang w:val="nl-BE" w:eastAsia="nl-NL"/>
    </w:rPr>
  </w:style>
  <w:style w:type="paragraph" w:styleId="Heading5">
    <w:name w:val="heading 5"/>
    <w:basedOn w:val="Normal"/>
    <w:next w:val="Normal"/>
    <w:link w:val="Heading5Char"/>
    <w:uiPriority w:val="99"/>
    <w:qFormat/>
    <w:rsid w:val="00D16ED2"/>
    <w:pPr>
      <w:keepNext/>
      <w:overflowPunct w:val="0"/>
      <w:autoSpaceDE w:val="0"/>
      <w:autoSpaceDN w:val="0"/>
      <w:adjustRightInd w:val="0"/>
      <w:spacing w:after="0" w:line="240" w:lineRule="auto"/>
      <w:ind w:right="-540"/>
      <w:textAlignment w:val="baseline"/>
      <w:outlineLvl w:val="4"/>
    </w:pPr>
    <w:rPr>
      <w:rFonts w:ascii="Univers" w:eastAsia="Times New Roman" w:hAnsi="Univers" w:cs="Times New Roman"/>
      <w:i/>
      <w:noProof/>
      <w:color w:val="0E0059"/>
      <w:szCs w:val="20"/>
      <w:lang w:val="nl-BE" w:eastAsia="nl-NL"/>
    </w:rPr>
  </w:style>
  <w:style w:type="paragraph" w:styleId="Heading6">
    <w:name w:val="heading 6"/>
    <w:basedOn w:val="Normal"/>
    <w:next w:val="Normal"/>
    <w:link w:val="Heading6Char"/>
    <w:uiPriority w:val="99"/>
    <w:qFormat/>
    <w:rsid w:val="00D16ED2"/>
    <w:pPr>
      <w:keepNext/>
      <w:overflowPunct w:val="0"/>
      <w:autoSpaceDE w:val="0"/>
      <w:autoSpaceDN w:val="0"/>
      <w:adjustRightInd w:val="0"/>
      <w:spacing w:after="0" w:line="240" w:lineRule="auto"/>
      <w:ind w:right="28"/>
      <w:textAlignment w:val="baseline"/>
      <w:outlineLvl w:val="5"/>
    </w:pPr>
    <w:rPr>
      <w:rFonts w:ascii="Myriad Pro" w:eastAsia="Times New Roman" w:hAnsi="Myriad Pro" w:cs="Times New Roman"/>
      <w:noProof/>
      <w:sz w:val="40"/>
      <w:szCs w:val="20"/>
      <w:lang w:val="nl-BE" w:eastAsia="nl-NL"/>
    </w:rPr>
  </w:style>
  <w:style w:type="paragraph" w:styleId="Heading7">
    <w:name w:val="heading 7"/>
    <w:basedOn w:val="Normal"/>
    <w:next w:val="Normal"/>
    <w:link w:val="Heading7Char"/>
    <w:uiPriority w:val="99"/>
    <w:unhideWhenUsed/>
    <w:qFormat/>
    <w:rsid w:val="00D16ED2"/>
    <w:pPr>
      <w:keepNext/>
      <w:keepLines/>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noProof/>
      <w:color w:val="1F3763" w:themeColor="accent1" w:themeShade="7F"/>
      <w:sz w:val="20"/>
      <w:szCs w:val="20"/>
      <w:lang w:val="nl-BE" w:eastAsia="nl-NL"/>
    </w:rPr>
  </w:style>
  <w:style w:type="paragraph" w:styleId="Heading8">
    <w:name w:val="heading 8"/>
    <w:basedOn w:val="Normal"/>
    <w:next w:val="Normal"/>
    <w:link w:val="Heading8Char"/>
    <w:uiPriority w:val="99"/>
    <w:qFormat/>
    <w:rsid w:val="00D16ED2"/>
    <w:pPr>
      <w:keepNext/>
      <w:tabs>
        <w:tab w:val="left" w:pos="-828"/>
        <w:tab w:val="left" w:pos="4253"/>
      </w:tabs>
      <w:suppressAutoHyphens/>
      <w:overflowPunct w:val="0"/>
      <w:autoSpaceDE w:val="0"/>
      <w:autoSpaceDN w:val="0"/>
      <w:adjustRightInd w:val="0"/>
      <w:spacing w:after="0" w:line="240" w:lineRule="auto"/>
      <w:jc w:val="both"/>
      <w:textAlignment w:val="baseline"/>
      <w:outlineLvl w:val="7"/>
    </w:pPr>
    <w:rPr>
      <w:rFonts w:ascii="Myriad Pro" w:eastAsia="Times New Roman" w:hAnsi="Myriad Pro" w:cs="Times New Roman"/>
      <w:b/>
      <w:bCs/>
      <w:i/>
      <w:iCs/>
      <w:spacing w:val="-3"/>
      <w:szCs w:val="20"/>
      <w:lang w:val="nl-BE" w:eastAsia="nl-NL"/>
    </w:rPr>
  </w:style>
  <w:style w:type="paragraph" w:styleId="Heading9">
    <w:name w:val="heading 9"/>
    <w:basedOn w:val="Normal"/>
    <w:next w:val="Normal"/>
    <w:link w:val="Heading9Char"/>
    <w:uiPriority w:val="99"/>
    <w:qFormat/>
    <w:rsid w:val="00D16ED2"/>
    <w:pPr>
      <w:keepNext/>
      <w:overflowPunct w:val="0"/>
      <w:autoSpaceDE w:val="0"/>
      <w:autoSpaceDN w:val="0"/>
      <w:adjustRightInd w:val="0"/>
      <w:spacing w:after="0" w:line="240" w:lineRule="auto"/>
      <w:jc w:val="center"/>
      <w:textAlignment w:val="baseline"/>
      <w:outlineLvl w:val="8"/>
    </w:pPr>
    <w:rPr>
      <w:rFonts w:ascii="Myriad Pro" w:eastAsia="Times New Roman" w:hAnsi="Myriad Pro" w:cs="Times New Roman"/>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6ED2"/>
    <w:rPr>
      <w:rFonts w:ascii="Calisto MT" w:eastAsia="Times New Roman" w:hAnsi="Calisto MT" w:cs="Lucida Sans Unicode"/>
      <w:i/>
      <w:iCs/>
      <w:noProof/>
      <w:sz w:val="18"/>
      <w:szCs w:val="20"/>
      <w:lang w:val="nl-BE" w:eastAsia="nl-NL"/>
    </w:rPr>
  </w:style>
  <w:style w:type="character" w:customStyle="1" w:styleId="Heading2Char">
    <w:name w:val="Heading 2 Char"/>
    <w:basedOn w:val="DefaultParagraphFont"/>
    <w:link w:val="Heading2"/>
    <w:uiPriority w:val="99"/>
    <w:rsid w:val="00D16ED2"/>
    <w:rPr>
      <w:rFonts w:ascii="Univers" w:eastAsia="Times New Roman" w:hAnsi="Univers" w:cs="Times New Roman"/>
      <w:noProof/>
      <w:sz w:val="24"/>
      <w:szCs w:val="20"/>
      <w:lang w:val="nl-BE" w:eastAsia="nl-NL"/>
    </w:rPr>
  </w:style>
  <w:style w:type="character" w:customStyle="1" w:styleId="Heading3Char">
    <w:name w:val="Heading 3 Char"/>
    <w:basedOn w:val="DefaultParagraphFont"/>
    <w:link w:val="Heading3"/>
    <w:uiPriority w:val="99"/>
    <w:rsid w:val="00D16ED2"/>
    <w:rPr>
      <w:rFonts w:ascii="Univers" w:eastAsia="Times New Roman" w:hAnsi="Univers" w:cs="Lucida Sans Unicode"/>
      <w:b/>
      <w:bCs/>
      <w:noProof/>
      <w:szCs w:val="20"/>
      <w:lang w:val="nl-BE" w:eastAsia="nl-NL"/>
    </w:rPr>
  </w:style>
  <w:style w:type="character" w:customStyle="1" w:styleId="Heading4Char">
    <w:name w:val="Heading 4 Char"/>
    <w:basedOn w:val="DefaultParagraphFont"/>
    <w:link w:val="Heading4"/>
    <w:uiPriority w:val="99"/>
    <w:rsid w:val="00D16ED2"/>
    <w:rPr>
      <w:rFonts w:ascii="Univers" w:eastAsia="Times New Roman" w:hAnsi="Univers" w:cs="Lucida Sans Unicode"/>
      <w:noProof/>
      <w:szCs w:val="20"/>
      <w:u w:val="single"/>
      <w:lang w:val="nl-BE" w:eastAsia="nl-NL"/>
    </w:rPr>
  </w:style>
  <w:style w:type="character" w:customStyle="1" w:styleId="Heading5Char">
    <w:name w:val="Heading 5 Char"/>
    <w:basedOn w:val="DefaultParagraphFont"/>
    <w:link w:val="Heading5"/>
    <w:uiPriority w:val="99"/>
    <w:rsid w:val="00D16ED2"/>
    <w:rPr>
      <w:rFonts w:ascii="Univers" w:eastAsia="Times New Roman" w:hAnsi="Univers" w:cs="Times New Roman"/>
      <w:i/>
      <w:noProof/>
      <w:color w:val="0E0059"/>
      <w:szCs w:val="20"/>
      <w:lang w:val="nl-BE" w:eastAsia="nl-NL"/>
    </w:rPr>
  </w:style>
  <w:style w:type="character" w:customStyle="1" w:styleId="Heading6Char">
    <w:name w:val="Heading 6 Char"/>
    <w:basedOn w:val="DefaultParagraphFont"/>
    <w:link w:val="Heading6"/>
    <w:uiPriority w:val="99"/>
    <w:rsid w:val="00D16ED2"/>
    <w:rPr>
      <w:rFonts w:ascii="Myriad Pro" w:eastAsia="Times New Roman" w:hAnsi="Myriad Pro" w:cs="Times New Roman"/>
      <w:noProof/>
      <w:sz w:val="40"/>
      <w:szCs w:val="20"/>
      <w:lang w:val="nl-BE" w:eastAsia="nl-NL"/>
    </w:rPr>
  </w:style>
  <w:style w:type="character" w:customStyle="1" w:styleId="Heading7Char">
    <w:name w:val="Heading 7 Char"/>
    <w:basedOn w:val="DefaultParagraphFont"/>
    <w:link w:val="Heading7"/>
    <w:uiPriority w:val="99"/>
    <w:rsid w:val="00D16ED2"/>
    <w:rPr>
      <w:rFonts w:asciiTheme="majorHAnsi" w:eastAsiaTheme="majorEastAsia" w:hAnsiTheme="majorHAnsi" w:cstheme="majorBidi"/>
      <w:i/>
      <w:iCs/>
      <w:noProof/>
      <w:color w:val="1F3763" w:themeColor="accent1" w:themeShade="7F"/>
      <w:sz w:val="20"/>
      <w:szCs w:val="20"/>
      <w:lang w:val="nl-BE" w:eastAsia="nl-NL"/>
    </w:rPr>
  </w:style>
  <w:style w:type="character" w:customStyle="1" w:styleId="Heading8Char">
    <w:name w:val="Heading 8 Char"/>
    <w:basedOn w:val="DefaultParagraphFont"/>
    <w:link w:val="Heading8"/>
    <w:uiPriority w:val="99"/>
    <w:rsid w:val="00D16ED2"/>
    <w:rPr>
      <w:rFonts w:ascii="Myriad Pro" w:eastAsia="Times New Roman" w:hAnsi="Myriad Pro" w:cs="Times New Roman"/>
      <w:b/>
      <w:bCs/>
      <w:i/>
      <w:iCs/>
      <w:spacing w:val="-3"/>
      <w:szCs w:val="20"/>
      <w:lang w:val="nl-BE" w:eastAsia="nl-NL"/>
    </w:rPr>
  </w:style>
  <w:style w:type="character" w:customStyle="1" w:styleId="Heading9Char">
    <w:name w:val="Heading 9 Char"/>
    <w:basedOn w:val="DefaultParagraphFont"/>
    <w:link w:val="Heading9"/>
    <w:uiPriority w:val="99"/>
    <w:rsid w:val="00D16ED2"/>
    <w:rPr>
      <w:rFonts w:ascii="Myriad Pro" w:eastAsia="Times New Roman" w:hAnsi="Myriad Pro" w:cs="Times New Roman"/>
      <w:sz w:val="24"/>
      <w:szCs w:val="20"/>
      <w:lang w:val="nl-NL" w:eastAsia="nl-NL"/>
    </w:rPr>
  </w:style>
  <w:style w:type="paragraph" w:styleId="Header">
    <w:name w:val="header"/>
    <w:basedOn w:val="Normal"/>
    <w:link w:val="Header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HeaderChar">
    <w:name w:val="Header Char"/>
    <w:basedOn w:val="DefaultParagraphFont"/>
    <w:link w:val="Header"/>
    <w:uiPriority w:val="99"/>
    <w:rsid w:val="00D16ED2"/>
    <w:rPr>
      <w:rFonts w:ascii="Times New Roman" w:eastAsia="Times New Roman" w:hAnsi="Times New Roman" w:cs="Times New Roman"/>
      <w:noProof/>
      <w:sz w:val="20"/>
      <w:szCs w:val="20"/>
      <w:lang w:val="nl-BE" w:eastAsia="nl-NL"/>
    </w:rPr>
  </w:style>
  <w:style w:type="paragraph" w:styleId="Footer">
    <w:name w:val="footer"/>
    <w:basedOn w:val="Normal"/>
    <w:link w:val="FooterChar"/>
    <w:uiPriority w:val="99"/>
    <w:rsid w:val="00D16E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nl-BE" w:eastAsia="nl-NL"/>
    </w:rPr>
  </w:style>
  <w:style w:type="character" w:customStyle="1" w:styleId="FooterChar">
    <w:name w:val="Footer Char"/>
    <w:basedOn w:val="DefaultParagraphFont"/>
    <w:link w:val="Footer"/>
    <w:uiPriority w:val="99"/>
    <w:rsid w:val="00D16ED2"/>
    <w:rPr>
      <w:rFonts w:ascii="Times New Roman" w:eastAsia="Times New Roman" w:hAnsi="Times New Roman" w:cs="Times New Roman"/>
      <w:noProof/>
      <w:sz w:val="20"/>
      <w:szCs w:val="20"/>
      <w:lang w:val="nl-BE" w:eastAsia="nl-NL"/>
    </w:rPr>
  </w:style>
  <w:style w:type="paragraph" w:styleId="BodyText">
    <w:name w:val="Body Text"/>
    <w:basedOn w:val="Normal"/>
    <w:link w:val="BodyTextChar"/>
    <w:uiPriority w:val="99"/>
    <w:rsid w:val="00D16ED2"/>
    <w:pPr>
      <w:tabs>
        <w:tab w:val="left" w:pos="3884"/>
      </w:tabs>
      <w:overflowPunct w:val="0"/>
      <w:autoSpaceDE w:val="0"/>
      <w:autoSpaceDN w:val="0"/>
      <w:adjustRightInd w:val="0"/>
      <w:spacing w:after="0" w:line="240" w:lineRule="auto"/>
      <w:ind w:right="28"/>
      <w:jc w:val="both"/>
      <w:textAlignment w:val="baseline"/>
    </w:pPr>
    <w:rPr>
      <w:rFonts w:ascii="Times New Roman" w:eastAsia="Times New Roman" w:hAnsi="Times New Roman" w:cs="Times New Roman"/>
      <w:noProof/>
      <w:szCs w:val="20"/>
      <w:lang w:val="nl-BE" w:eastAsia="nl-NL"/>
    </w:rPr>
  </w:style>
  <w:style w:type="character" w:customStyle="1" w:styleId="BodyTextChar">
    <w:name w:val="Body Text Char"/>
    <w:basedOn w:val="DefaultParagraphFont"/>
    <w:link w:val="BodyText"/>
    <w:uiPriority w:val="99"/>
    <w:rsid w:val="00D16ED2"/>
    <w:rPr>
      <w:rFonts w:ascii="Times New Roman" w:eastAsia="Times New Roman" w:hAnsi="Times New Roman" w:cs="Times New Roman"/>
      <w:noProof/>
      <w:szCs w:val="20"/>
      <w:lang w:val="nl-BE" w:eastAsia="nl-NL"/>
    </w:rPr>
  </w:style>
  <w:style w:type="character" w:styleId="Hyperlink">
    <w:name w:val="Hyperlink"/>
    <w:basedOn w:val="DefaultParagraphFont"/>
    <w:uiPriority w:val="99"/>
    <w:rsid w:val="00D16ED2"/>
    <w:rPr>
      <w:color w:val="0000FF"/>
      <w:u w:val="single"/>
    </w:rPr>
  </w:style>
  <w:style w:type="paragraph" w:styleId="BodyText2">
    <w:name w:val="Body Text 2"/>
    <w:basedOn w:val="Normal"/>
    <w:link w:val="BodyText2Char"/>
    <w:uiPriority w:val="99"/>
    <w:rsid w:val="00D16ED2"/>
    <w:pPr>
      <w:autoSpaceDE w:val="0"/>
      <w:autoSpaceDN w:val="0"/>
      <w:adjustRightInd w:val="0"/>
      <w:spacing w:after="0" w:line="240" w:lineRule="auto"/>
    </w:pPr>
    <w:rPr>
      <w:rFonts w:ascii="Myriad Pro" w:eastAsia="Times New Roman" w:hAnsi="Myriad Pro" w:cs="Arial"/>
      <w:noProof/>
      <w:color w:val="3E3F2C"/>
      <w:sz w:val="20"/>
      <w:szCs w:val="20"/>
      <w:lang w:val="nl-BE" w:eastAsia="nl-NL"/>
    </w:rPr>
  </w:style>
  <w:style w:type="character" w:customStyle="1" w:styleId="BodyText2Char">
    <w:name w:val="Body Text 2 Char"/>
    <w:basedOn w:val="DefaultParagraphFont"/>
    <w:link w:val="BodyText2"/>
    <w:uiPriority w:val="99"/>
    <w:rsid w:val="00D16ED2"/>
    <w:rPr>
      <w:rFonts w:ascii="Myriad Pro" w:eastAsia="Times New Roman" w:hAnsi="Myriad Pro" w:cs="Arial"/>
      <w:noProof/>
      <w:color w:val="3E3F2C"/>
      <w:sz w:val="20"/>
      <w:szCs w:val="20"/>
      <w:lang w:val="nl-BE" w:eastAsia="nl-NL"/>
    </w:rPr>
  </w:style>
  <w:style w:type="paragraph" w:customStyle="1" w:styleId="Lijstalinea1">
    <w:name w:val="Lijstalinea1"/>
    <w:basedOn w:val="Normal"/>
    <w:rsid w:val="00D16ED2"/>
    <w:pPr>
      <w:spacing w:after="200" w:line="276" w:lineRule="auto"/>
      <w:ind w:left="720"/>
      <w:contextualSpacing/>
    </w:pPr>
    <w:rPr>
      <w:rFonts w:ascii="Calibri" w:eastAsia="Times New Roman" w:hAnsi="Calibri" w:cs="Times New Roman"/>
      <w:noProof/>
      <w:lang w:val="nl-BE"/>
    </w:rPr>
  </w:style>
  <w:style w:type="paragraph" w:styleId="ListParagraph">
    <w:name w:val="List Paragraph"/>
    <w:basedOn w:val="Normal"/>
    <w:uiPriority w:val="34"/>
    <w:qFormat/>
    <w:rsid w:val="00D16ED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0"/>
      <w:szCs w:val="20"/>
      <w:lang w:val="nl-BE" w:eastAsia="nl-NL"/>
    </w:rPr>
  </w:style>
  <w:style w:type="paragraph" w:styleId="BalloonText">
    <w:name w:val="Balloon Text"/>
    <w:basedOn w:val="Normal"/>
    <w:link w:val="BalloonTextChar"/>
    <w:uiPriority w:val="99"/>
    <w:rsid w:val="00D16ED2"/>
    <w:pPr>
      <w:overflowPunct w:val="0"/>
      <w:autoSpaceDE w:val="0"/>
      <w:autoSpaceDN w:val="0"/>
      <w:adjustRightInd w:val="0"/>
      <w:spacing w:after="0" w:line="240" w:lineRule="auto"/>
      <w:textAlignment w:val="baseline"/>
    </w:pPr>
    <w:rPr>
      <w:rFonts w:ascii="Tahoma" w:eastAsia="Times New Roman" w:hAnsi="Tahoma" w:cs="Tahoma"/>
      <w:noProof/>
      <w:sz w:val="16"/>
      <w:szCs w:val="16"/>
      <w:lang w:val="nl-BE" w:eastAsia="nl-NL"/>
    </w:rPr>
  </w:style>
  <w:style w:type="character" w:customStyle="1" w:styleId="BalloonTextChar">
    <w:name w:val="Balloon Text Char"/>
    <w:basedOn w:val="DefaultParagraphFont"/>
    <w:link w:val="BalloonText"/>
    <w:uiPriority w:val="99"/>
    <w:rsid w:val="00D16ED2"/>
    <w:rPr>
      <w:rFonts w:ascii="Tahoma" w:eastAsia="Times New Roman" w:hAnsi="Tahoma" w:cs="Tahoma"/>
      <w:noProof/>
      <w:sz w:val="16"/>
      <w:szCs w:val="16"/>
      <w:lang w:val="nl-BE" w:eastAsia="nl-NL"/>
    </w:rPr>
  </w:style>
  <w:style w:type="table" w:styleId="TableGrid">
    <w:name w:val="Table Grid"/>
    <w:basedOn w:val="TableNormal"/>
    <w:rsid w:val="00D16ED2"/>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WPlain">
    <w:name w:val="FFW Plain"/>
    <w:basedOn w:val="Normal"/>
    <w:locked/>
    <w:rsid w:val="00D16ED2"/>
    <w:pPr>
      <w:spacing w:after="0" w:line="260" w:lineRule="atLeast"/>
      <w:jc w:val="both"/>
    </w:pPr>
    <w:rPr>
      <w:rFonts w:ascii="Arial" w:eastAsia="Times New Roman" w:hAnsi="Arial" w:cs="Arial"/>
      <w:noProof/>
      <w:sz w:val="20"/>
      <w:szCs w:val="24"/>
      <w:lang w:val="en-GB" w:eastAsia="en-GB"/>
    </w:rPr>
  </w:style>
  <w:style w:type="character" w:customStyle="1" w:styleId="widget-contact-value">
    <w:name w:val="widget-contact-value"/>
    <w:basedOn w:val="DefaultParagraphFont"/>
    <w:rsid w:val="00D16ED2"/>
  </w:style>
  <w:style w:type="paragraph" w:customStyle="1" w:styleId="Aanhef1">
    <w:name w:val="Aanhef1"/>
    <w:basedOn w:val="Normal"/>
    <w:next w:val="Normal"/>
    <w:link w:val="Tekensvooraanhef"/>
    <w:uiPriority w:val="1"/>
    <w:unhideWhenUsed/>
    <w:qFormat/>
    <w:rsid w:val="00D16ED2"/>
    <w:pPr>
      <w:spacing w:before="720" w:line="288" w:lineRule="auto"/>
    </w:pPr>
    <w:rPr>
      <w:color w:val="595959" w:themeColor="text1" w:themeTint="A6"/>
      <w:kern w:val="20"/>
      <w:sz w:val="20"/>
      <w:szCs w:val="20"/>
      <w:lang w:val="nl-NL" w:eastAsia="nl-NL"/>
    </w:rPr>
  </w:style>
  <w:style w:type="character" w:customStyle="1" w:styleId="Tekensvooraanhef">
    <w:name w:val="Tekens voor aanhef"/>
    <w:basedOn w:val="DefaultParagraphFont"/>
    <w:link w:val="Aanhef1"/>
    <w:uiPriority w:val="1"/>
    <w:rsid w:val="00D16ED2"/>
    <w:rPr>
      <w:color w:val="595959" w:themeColor="text1" w:themeTint="A6"/>
      <w:kern w:val="20"/>
      <w:sz w:val="20"/>
      <w:szCs w:val="20"/>
      <w:lang w:val="nl-NL" w:eastAsia="nl-NL"/>
    </w:rPr>
  </w:style>
  <w:style w:type="paragraph" w:customStyle="1" w:styleId="bijschrift">
    <w:name w:val="bijschrift"/>
    <w:basedOn w:val="Normal"/>
    <w:uiPriority w:val="99"/>
    <w:rsid w:val="00D16ED2"/>
    <w:pPr>
      <w:overflowPunct w:val="0"/>
      <w:autoSpaceDE w:val="0"/>
      <w:autoSpaceDN w:val="0"/>
      <w:adjustRightInd w:val="0"/>
      <w:spacing w:after="0" w:line="240" w:lineRule="auto"/>
      <w:textAlignment w:val="baseline"/>
    </w:pPr>
    <w:rPr>
      <w:rFonts w:ascii="Courier" w:eastAsia="Times New Roman" w:hAnsi="Courier" w:cs="Times New Roman"/>
      <w:sz w:val="24"/>
      <w:szCs w:val="20"/>
      <w:lang w:val="nl-NL" w:eastAsia="nl-NL"/>
    </w:rPr>
  </w:style>
  <w:style w:type="paragraph" w:customStyle="1" w:styleId="xl24">
    <w:name w:val="xl24"/>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5">
    <w:name w:val="xl25"/>
    <w:basedOn w:val="Normal"/>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26">
    <w:name w:val="xl26"/>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7">
    <w:name w:val="xl27"/>
    <w:basedOn w:val="Normal"/>
    <w:uiPriority w:val="99"/>
    <w:rsid w:val="00D16ED2"/>
    <w:pP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28">
    <w:name w:val="xl28"/>
    <w:basedOn w:val="Normal"/>
    <w:uiPriority w:val="99"/>
    <w:rsid w:val="00D16ED2"/>
    <w:pPr>
      <w:spacing w:before="100" w:beforeAutospacing="1" w:after="100" w:afterAutospacing="1" w:line="240" w:lineRule="auto"/>
      <w:jc w:val="center"/>
      <w:textAlignment w:val="center"/>
    </w:pPr>
    <w:rPr>
      <w:rFonts w:ascii="Univers" w:eastAsia="Arial Unicode MS" w:hAnsi="Univers" w:cs="Arial Unicode MS"/>
      <w:b/>
      <w:bCs/>
      <w:sz w:val="24"/>
      <w:szCs w:val="24"/>
      <w:lang w:val="nl-NL" w:eastAsia="nl-NL"/>
    </w:rPr>
  </w:style>
  <w:style w:type="paragraph" w:customStyle="1" w:styleId="xl29">
    <w:name w:val="xl29"/>
    <w:basedOn w:val="Normal"/>
    <w:uiPriority w:val="99"/>
    <w:rsid w:val="00D16ED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0">
    <w:name w:val="xl30"/>
    <w:basedOn w:val="Normal"/>
    <w:uiPriority w:val="99"/>
    <w:rsid w:val="00D16ED2"/>
    <w:pPr>
      <w:pBdr>
        <w:bottom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1">
    <w:name w:val="xl31"/>
    <w:basedOn w:val="Normal"/>
    <w:uiPriority w:val="99"/>
    <w:rsid w:val="00D16ED2"/>
    <w:pPr>
      <w:pBdr>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customStyle="1" w:styleId="xl32">
    <w:name w:val="xl32"/>
    <w:basedOn w:val="Normal"/>
    <w:uiPriority w:val="99"/>
    <w:rsid w:val="00D16ED2"/>
    <w:pPr>
      <w:pBdr>
        <w:left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3">
    <w:name w:val="xl33"/>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4">
    <w:name w:val="xl34"/>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5">
    <w:name w:val="xl35"/>
    <w:basedOn w:val="Normal"/>
    <w:uiPriority w:val="99"/>
    <w:rsid w:val="00D16ED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36">
    <w:name w:val="xl36"/>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7">
    <w:name w:val="xl37"/>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38">
    <w:name w:val="xl38"/>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39">
    <w:name w:val="xl39"/>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0">
    <w:name w:val="xl40"/>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1">
    <w:name w:val="xl41"/>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2">
    <w:name w:val="xl42"/>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3">
    <w:name w:val="xl43"/>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4">
    <w:name w:val="xl44"/>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5">
    <w:name w:val="xl45"/>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18"/>
      <w:szCs w:val="18"/>
      <w:lang w:val="nl-NL" w:eastAsia="nl-NL"/>
    </w:rPr>
  </w:style>
  <w:style w:type="paragraph" w:customStyle="1" w:styleId="xl46">
    <w:name w:val="xl46"/>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7">
    <w:name w:val="xl47"/>
    <w:basedOn w:val="Normal"/>
    <w:uiPriority w:val="99"/>
    <w:rsid w:val="00D16ED2"/>
    <w:pPr>
      <w:pBdr>
        <w:top w:val="single" w:sz="4" w:space="0" w:color="auto"/>
        <w:bottom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8">
    <w:name w:val="xl48"/>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49">
    <w:name w:val="xl49"/>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0">
    <w:name w:val="xl50"/>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1">
    <w:name w:val="xl51"/>
    <w:basedOn w:val="Normal"/>
    <w:uiPriority w:val="99"/>
    <w:rsid w:val="00D16ED2"/>
    <w:pP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2">
    <w:name w:val="xl52"/>
    <w:basedOn w:val="Normal"/>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3">
    <w:name w:val="xl53"/>
    <w:basedOn w:val="Normal"/>
    <w:uiPriority w:val="99"/>
    <w:rsid w:val="00D16ED2"/>
    <w:pPr>
      <w:pBdr>
        <w:top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54">
    <w:name w:val="xl54"/>
    <w:basedOn w:val="Normal"/>
    <w:uiPriority w:val="99"/>
    <w:rsid w:val="00D16ED2"/>
    <w:pPr>
      <w:pBdr>
        <w:top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sz w:val="24"/>
      <w:szCs w:val="24"/>
      <w:lang w:val="nl-NL" w:eastAsia="nl-NL"/>
    </w:rPr>
  </w:style>
  <w:style w:type="paragraph" w:customStyle="1" w:styleId="xl55">
    <w:name w:val="xl55"/>
    <w:basedOn w:val="Normal"/>
    <w:uiPriority w:val="99"/>
    <w:rsid w:val="00D16ED2"/>
    <w:pPr>
      <w:pBdr>
        <w:bottom w:val="single" w:sz="4" w:space="0" w:color="auto"/>
      </w:pBd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6">
    <w:name w:val="xl56"/>
    <w:basedOn w:val="Normal"/>
    <w:uiPriority w:val="99"/>
    <w:rsid w:val="00D16ED2"/>
    <w:pPr>
      <w:pBdr>
        <w:lef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57">
    <w:name w:val="xl57"/>
    <w:basedOn w:val="Normal"/>
    <w:uiPriority w:val="99"/>
    <w:rsid w:val="00D16ED2"/>
    <w:pPr>
      <w:spacing w:before="100" w:beforeAutospacing="1" w:after="100" w:afterAutospacing="1" w:line="240" w:lineRule="auto"/>
      <w:jc w:val="right"/>
      <w:textAlignment w:val="center"/>
    </w:pPr>
    <w:rPr>
      <w:rFonts w:ascii="Univers" w:eastAsia="Arial Unicode MS" w:hAnsi="Univers" w:cs="Arial Unicode MS"/>
      <w:color w:val="000000"/>
      <w:sz w:val="18"/>
      <w:szCs w:val="18"/>
      <w:lang w:val="nl-NL" w:eastAsia="nl-NL"/>
    </w:rPr>
  </w:style>
  <w:style w:type="paragraph" w:customStyle="1" w:styleId="xl58">
    <w:name w:val="xl58"/>
    <w:basedOn w:val="Normal"/>
    <w:uiPriority w:val="99"/>
    <w:rsid w:val="00D16ED2"/>
    <w:pPr>
      <w:spacing w:before="100" w:beforeAutospacing="1" w:after="100" w:afterAutospacing="1" w:line="240" w:lineRule="auto"/>
      <w:textAlignment w:val="center"/>
    </w:pPr>
    <w:rPr>
      <w:rFonts w:ascii="Univers" w:eastAsia="Arial Unicode MS" w:hAnsi="Univers" w:cs="Arial Unicode MS"/>
      <w:color w:val="000000"/>
      <w:sz w:val="18"/>
      <w:szCs w:val="18"/>
      <w:lang w:val="nl-NL" w:eastAsia="nl-NL"/>
    </w:rPr>
  </w:style>
  <w:style w:type="paragraph" w:customStyle="1" w:styleId="xl59">
    <w:name w:val="xl59"/>
    <w:basedOn w:val="Normal"/>
    <w:uiPriority w:val="99"/>
    <w:rsid w:val="00D16ED2"/>
    <w:pPr>
      <w:pBdr>
        <w:right w:val="single" w:sz="4" w:space="0" w:color="auto"/>
      </w:pBdr>
      <w:spacing w:before="100" w:beforeAutospacing="1" w:after="100" w:afterAutospacing="1" w:line="240" w:lineRule="auto"/>
      <w:textAlignment w:val="center"/>
    </w:pPr>
    <w:rPr>
      <w:rFonts w:ascii="Univers" w:eastAsia="Arial Unicode MS" w:hAnsi="Univers" w:cs="Arial Unicode MS"/>
      <w:sz w:val="18"/>
      <w:szCs w:val="18"/>
      <w:lang w:val="nl-NL" w:eastAsia="nl-NL"/>
    </w:rPr>
  </w:style>
  <w:style w:type="paragraph" w:customStyle="1" w:styleId="xl60">
    <w:name w:val="xl60"/>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paragraph" w:customStyle="1" w:styleId="xl61">
    <w:name w:val="xl61"/>
    <w:basedOn w:val="Normal"/>
    <w:uiPriority w:val="99"/>
    <w:rsid w:val="00D16ED2"/>
    <w:pPr>
      <w:pBdr>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18"/>
      <w:szCs w:val="18"/>
      <w:lang w:val="nl-NL" w:eastAsia="nl-NL"/>
    </w:rPr>
  </w:style>
  <w:style w:type="character" w:styleId="PageNumber">
    <w:name w:val="page number"/>
    <w:basedOn w:val="DefaultParagraphFont"/>
    <w:uiPriority w:val="99"/>
    <w:semiHidden/>
    <w:rsid w:val="00D16ED2"/>
    <w:rPr>
      <w:rFonts w:cs="Times New Roman"/>
    </w:rPr>
  </w:style>
  <w:style w:type="paragraph" w:customStyle="1" w:styleId="xl22">
    <w:name w:val="xl22"/>
    <w:basedOn w:val="Normal"/>
    <w:uiPriority w:val="99"/>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Univers" w:eastAsia="Arial Unicode MS" w:hAnsi="Univers" w:cs="Arial Unicode MS"/>
      <w:b/>
      <w:bCs/>
      <w:sz w:val="24"/>
      <w:szCs w:val="24"/>
      <w:lang w:val="nl-NL" w:eastAsia="nl-NL"/>
    </w:rPr>
  </w:style>
  <w:style w:type="paragraph" w:customStyle="1" w:styleId="xl23">
    <w:name w:val="xl23"/>
    <w:basedOn w:val="Normal"/>
    <w:uiPriority w:val="99"/>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Arial Unicode MS" w:hAnsi="Univers" w:cs="Arial Unicode MS"/>
      <w:sz w:val="24"/>
      <w:szCs w:val="24"/>
      <w:lang w:val="nl-NL" w:eastAsia="nl-NL"/>
    </w:rPr>
  </w:style>
  <w:style w:type="paragraph" w:styleId="NormalWeb">
    <w:name w:val="Normal (Web)"/>
    <w:basedOn w:val="Normal"/>
    <w:uiPriority w:val="99"/>
    <w:unhideWhenUsed/>
    <w:rsid w:val="00D16ED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D16ED2"/>
    <w:rPr>
      <w:sz w:val="16"/>
      <w:szCs w:val="16"/>
    </w:rPr>
  </w:style>
  <w:style w:type="paragraph" w:styleId="CommentText">
    <w:name w:val="annotation text"/>
    <w:basedOn w:val="Normal"/>
    <w:link w:val="CommentTextChar"/>
    <w:uiPriority w:val="99"/>
    <w:semiHidden/>
    <w:unhideWhenUsed/>
    <w:rsid w:val="00D16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D16ED2"/>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D16ED2"/>
    <w:rPr>
      <w:b/>
      <w:bCs/>
    </w:rPr>
  </w:style>
  <w:style w:type="character" w:customStyle="1" w:styleId="CommentSubjectChar">
    <w:name w:val="Comment Subject Char"/>
    <w:basedOn w:val="CommentTextChar"/>
    <w:link w:val="CommentSubject"/>
    <w:uiPriority w:val="99"/>
    <w:semiHidden/>
    <w:rsid w:val="00D16ED2"/>
    <w:rPr>
      <w:rFonts w:ascii="Times New Roman" w:eastAsia="Times New Roman" w:hAnsi="Times New Roman" w:cs="Times New Roman"/>
      <w:b/>
      <w:bCs/>
      <w:sz w:val="20"/>
      <w:szCs w:val="20"/>
      <w:lang w:val="nl-NL" w:eastAsia="nl-NL"/>
    </w:rPr>
  </w:style>
  <w:style w:type="character" w:customStyle="1" w:styleId="UnresolvedMention1">
    <w:name w:val="Unresolved Mention1"/>
    <w:basedOn w:val="DefaultParagraphFont"/>
    <w:uiPriority w:val="99"/>
    <w:semiHidden/>
    <w:unhideWhenUsed/>
    <w:rsid w:val="00D16ED2"/>
    <w:rPr>
      <w:color w:val="605E5C"/>
      <w:shd w:val="clear" w:color="auto" w:fill="E1DFDD"/>
    </w:rPr>
  </w:style>
  <w:style w:type="character" w:styleId="FollowedHyperlink">
    <w:name w:val="FollowedHyperlink"/>
    <w:basedOn w:val="DefaultParagraphFont"/>
    <w:uiPriority w:val="99"/>
    <w:semiHidden/>
    <w:unhideWhenUsed/>
    <w:rsid w:val="00D16ED2"/>
    <w:rPr>
      <w:color w:val="800080"/>
      <w:u w:val="single"/>
    </w:rPr>
  </w:style>
  <w:style w:type="paragraph" w:customStyle="1" w:styleId="msonormal0">
    <w:name w:val="msonormal"/>
    <w:basedOn w:val="Normal"/>
    <w:rsid w:val="00D16ED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l67">
    <w:name w:val="xl67"/>
    <w:basedOn w:val="Normal"/>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8">
    <w:name w:val="xl68"/>
    <w:basedOn w:val="Normal"/>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9">
    <w:name w:val="xl69"/>
    <w:basedOn w:val="Normal"/>
    <w:rsid w:val="00D16ED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0">
    <w:name w:val="xl70"/>
    <w:basedOn w:val="Normal"/>
    <w:rsid w:val="00D16ED2"/>
    <w:pPr>
      <w:pBdr>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1">
    <w:name w:val="xl71"/>
    <w:basedOn w:val="Normal"/>
    <w:rsid w:val="00D16ED2"/>
    <w:pP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2">
    <w:name w:val="xl72"/>
    <w:basedOn w:val="Normal"/>
    <w:rsid w:val="00D16ED2"/>
    <w:pPr>
      <w:pBdr>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3">
    <w:name w:val="xl73"/>
    <w:basedOn w:val="Normal"/>
    <w:rsid w:val="00D16ED2"/>
    <w:pPr>
      <w:pBdr>
        <w:left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4">
    <w:name w:val="xl74"/>
    <w:basedOn w:val="Normal"/>
    <w:rsid w:val="00D16ED2"/>
    <w:pPr>
      <w:pBdr>
        <w:top w:val="single" w:sz="4" w:space="0" w:color="FFFFFF"/>
        <w:left w:val="single" w:sz="4" w:space="0" w:color="auto"/>
        <w:bottom w:val="single" w:sz="4" w:space="0" w:color="auto"/>
      </w:pBdr>
      <w:shd w:val="clear" w:color="000000" w:fill="FFFFFF"/>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75">
    <w:name w:val="xl75"/>
    <w:basedOn w:val="Normal"/>
    <w:rsid w:val="00D16ED2"/>
    <w:pPr>
      <w:pBdr>
        <w:top w:val="single" w:sz="4" w:space="0" w:color="FFFFFF"/>
        <w:left w:val="single" w:sz="4" w:space="0" w:color="auto"/>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6">
    <w:name w:val="xl76"/>
    <w:basedOn w:val="Normal"/>
    <w:rsid w:val="00D16ED2"/>
    <w:pPr>
      <w:pBdr>
        <w:top w:val="single" w:sz="4" w:space="0" w:color="FFFFFF"/>
        <w:left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7">
    <w:name w:val="xl77"/>
    <w:basedOn w:val="Normal"/>
    <w:rsid w:val="00D16ED2"/>
    <w:pPr>
      <w:pBdr>
        <w:left w:val="single" w:sz="4" w:space="0" w:color="FFFFFF"/>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24"/>
      <w:szCs w:val="24"/>
      <w:lang w:val="nl-BE" w:eastAsia="nl-BE"/>
    </w:rPr>
  </w:style>
  <w:style w:type="paragraph" w:customStyle="1" w:styleId="xl78">
    <w:name w:val="xl78"/>
    <w:basedOn w:val="Normal"/>
    <w:rsid w:val="00D16ED2"/>
    <w:pPr>
      <w:pBdr>
        <w:top w:val="single" w:sz="4" w:space="0" w:color="FFFFFF"/>
        <w:bottom w:val="single" w:sz="4" w:space="0" w:color="auto"/>
        <w:right w:val="single" w:sz="4" w:space="0" w:color="FFFFFF"/>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79">
    <w:name w:val="xl79"/>
    <w:basedOn w:val="Normal"/>
    <w:rsid w:val="00D16ED2"/>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color w:val="000000"/>
      <w:sz w:val="18"/>
      <w:szCs w:val="18"/>
      <w:lang w:val="nl-BE" w:eastAsia="nl-BE"/>
    </w:rPr>
  </w:style>
  <w:style w:type="paragraph" w:customStyle="1" w:styleId="xl80">
    <w:name w:val="xl80"/>
    <w:basedOn w:val="Normal"/>
    <w:rsid w:val="00D16ED2"/>
    <w:pPr>
      <w:pBdr>
        <w:top w:val="single" w:sz="4" w:space="0" w:color="FFFFFF"/>
        <w:left w:val="single" w:sz="4" w:space="0" w:color="auto"/>
        <w:bottom w:val="single" w:sz="4" w:space="0" w:color="FFFFFF"/>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81">
    <w:name w:val="xl81"/>
    <w:basedOn w:val="Normal"/>
    <w:rsid w:val="00D16ED2"/>
    <w:pPr>
      <w:pBdr>
        <w:left w:val="single" w:sz="4" w:space="0" w:color="auto"/>
        <w:bottom w:val="single" w:sz="4" w:space="0" w:color="FFFFFF"/>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82">
    <w:name w:val="xl82"/>
    <w:basedOn w:val="Normal"/>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3">
    <w:name w:val="xl83"/>
    <w:basedOn w:val="Normal"/>
    <w:rsid w:val="00D16ED2"/>
    <w:pPr>
      <w:pBdr>
        <w:left w:val="single" w:sz="4" w:space="0" w:color="FFFFFF"/>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4">
    <w:name w:val="xl84"/>
    <w:basedOn w:val="Normal"/>
    <w:rsid w:val="00D16ED2"/>
    <w:pPr>
      <w:pBdr>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5">
    <w:name w:val="xl85"/>
    <w:basedOn w:val="Normal"/>
    <w:rsid w:val="00D16ED2"/>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6">
    <w:name w:val="xl86"/>
    <w:basedOn w:val="Normal"/>
    <w:rsid w:val="00D16ED2"/>
    <w:pPr>
      <w:pBdr>
        <w:left w:val="single" w:sz="4" w:space="0" w:color="FFFFFF"/>
        <w:bottom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7">
    <w:name w:val="xl87"/>
    <w:basedOn w:val="Normal"/>
    <w:rsid w:val="00D16ED2"/>
    <w:pPr>
      <w:pBdr>
        <w:left w:val="single" w:sz="4" w:space="0" w:color="auto"/>
        <w:bottom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88">
    <w:name w:val="xl88"/>
    <w:basedOn w:val="Normal"/>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89">
    <w:name w:val="xl89"/>
    <w:basedOn w:val="Normal"/>
    <w:rsid w:val="00D16ED2"/>
    <w:pPr>
      <w:pBdr>
        <w:top w:val="single" w:sz="4" w:space="0" w:color="auto"/>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0">
    <w:name w:val="xl90"/>
    <w:basedOn w:val="Normal"/>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1">
    <w:name w:val="xl91"/>
    <w:basedOn w:val="Normal"/>
    <w:rsid w:val="00D16ED2"/>
    <w:pPr>
      <w:pBdr>
        <w:top w:val="single" w:sz="4" w:space="0" w:color="auto"/>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2">
    <w:name w:val="xl92"/>
    <w:basedOn w:val="Normal"/>
    <w:rsid w:val="00D16ED2"/>
    <w:pPr>
      <w:pBdr>
        <w:top w:val="single" w:sz="4" w:space="0" w:color="auto"/>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3">
    <w:name w:val="xl93"/>
    <w:basedOn w:val="Normal"/>
    <w:rsid w:val="00D16ED2"/>
    <w:pPr>
      <w:pBdr>
        <w:top w:val="single" w:sz="4" w:space="0" w:color="auto"/>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4">
    <w:name w:val="xl94"/>
    <w:basedOn w:val="Normal"/>
    <w:rsid w:val="00D16ED2"/>
    <w:pPr>
      <w:pBdr>
        <w:top w:val="single" w:sz="4" w:space="0" w:color="auto"/>
        <w:left w:val="single" w:sz="4" w:space="0" w:color="FFFFFF"/>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5">
    <w:name w:val="xl95"/>
    <w:basedOn w:val="Normal"/>
    <w:rsid w:val="00D16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6">
    <w:name w:val="xl96"/>
    <w:basedOn w:val="Normal"/>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18"/>
      <w:szCs w:val="18"/>
      <w:lang w:val="nl-BE" w:eastAsia="nl-BE"/>
    </w:rPr>
  </w:style>
  <w:style w:type="paragraph" w:customStyle="1" w:styleId="xl97">
    <w:name w:val="xl97"/>
    <w:basedOn w:val="Normal"/>
    <w:rsid w:val="00D16ED2"/>
    <w:pPr>
      <w:pBdr>
        <w:top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8">
    <w:name w:val="xl98"/>
    <w:basedOn w:val="Normal"/>
    <w:rsid w:val="00D16ED2"/>
    <w:pPr>
      <w:pBdr>
        <w:top w:val="single" w:sz="4" w:space="0" w:color="auto"/>
        <w:bottom w:val="single" w:sz="4" w:space="0" w:color="auto"/>
      </w:pBdr>
      <w:spacing w:before="100" w:beforeAutospacing="1" w:after="100" w:afterAutospacing="1" w:line="240" w:lineRule="auto"/>
      <w:jc w:val="right"/>
    </w:pPr>
    <w:rPr>
      <w:rFonts w:ascii="Univers" w:eastAsia="Times New Roman" w:hAnsi="Univers" w:cs="Times New Roman"/>
      <w:b/>
      <w:bCs/>
      <w:color w:val="000000"/>
      <w:sz w:val="18"/>
      <w:szCs w:val="18"/>
      <w:lang w:val="nl-BE" w:eastAsia="nl-BE"/>
    </w:rPr>
  </w:style>
  <w:style w:type="paragraph" w:customStyle="1" w:styleId="xl99">
    <w:name w:val="xl99"/>
    <w:basedOn w:val="Normal"/>
    <w:rsid w:val="00D16ED2"/>
    <w:pPr>
      <w:pBdr>
        <w:top w:val="single" w:sz="4" w:space="0" w:color="FFFFFF"/>
        <w:lef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0">
    <w:name w:val="xl100"/>
    <w:basedOn w:val="Normal"/>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1">
    <w:name w:val="xl101"/>
    <w:basedOn w:val="Normal"/>
    <w:rsid w:val="00D16ED2"/>
    <w:pPr>
      <w:pBdr>
        <w:top w:val="single" w:sz="4" w:space="0" w:color="FFFFFF"/>
        <w:left w:val="single" w:sz="4" w:space="0" w:color="FFFFFF"/>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2">
    <w:name w:val="xl102"/>
    <w:basedOn w:val="Normal"/>
    <w:rsid w:val="00D16ED2"/>
    <w:pPr>
      <w:pBdr>
        <w:lef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3">
    <w:name w:val="xl103"/>
    <w:basedOn w:val="Normal"/>
    <w:rsid w:val="00D16ED2"/>
    <w:pPr>
      <w:pBdr>
        <w:left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4">
    <w:name w:val="xl104"/>
    <w:basedOn w:val="Normal"/>
    <w:rsid w:val="00D16ED2"/>
    <w:pPr>
      <w:pBdr>
        <w:top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5">
    <w:name w:val="xl105"/>
    <w:basedOn w:val="Normal"/>
    <w:rsid w:val="00D16ED2"/>
    <w:pPr>
      <w:pBdr>
        <w:left w:val="single" w:sz="4" w:space="0" w:color="auto"/>
        <w:bottom w:val="single" w:sz="4" w:space="0" w:color="auto"/>
        <w:right w:val="single" w:sz="4" w:space="0" w:color="auto"/>
      </w:pBd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106">
    <w:name w:val="xl106"/>
    <w:basedOn w:val="Normal"/>
    <w:rsid w:val="00D16ED2"/>
    <w:pPr>
      <w:pBdr>
        <w:top w:val="single" w:sz="4" w:space="0" w:color="FFFFFF"/>
        <w:left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07">
    <w:name w:val="xl107"/>
    <w:basedOn w:val="Normal"/>
    <w:rsid w:val="00D16ED2"/>
    <w:pPr>
      <w:pBdr>
        <w:top w:val="single" w:sz="4" w:space="0" w:color="FFFFFF"/>
        <w:left w:val="single" w:sz="4" w:space="0" w:color="FFFFFF"/>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8">
    <w:name w:val="xl108"/>
    <w:basedOn w:val="Normal"/>
    <w:rsid w:val="00D16ED2"/>
    <w:pPr>
      <w:pBdr>
        <w:top w:val="single" w:sz="4" w:space="0" w:color="FFFFFF"/>
        <w:left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09">
    <w:name w:val="xl109"/>
    <w:basedOn w:val="Normal"/>
    <w:rsid w:val="00D16ED2"/>
    <w:pPr>
      <w:pBdr>
        <w:top w:val="single" w:sz="4" w:space="0" w:color="auto"/>
        <w:left w:val="single" w:sz="4" w:space="0" w:color="auto"/>
        <w:bottom w:val="single" w:sz="4" w:space="0" w:color="auto"/>
      </w:pBdr>
      <w:spacing w:before="100" w:beforeAutospacing="1" w:after="100" w:afterAutospacing="1" w:line="240" w:lineRule="auto"/>
    </w:pPr>
    <w:rPr>
      <w:rFonts w:ascii="Univers" w:eastAsia="Times New Roman" w:hAnsi="Univers" w:cs="Times New Roman"/>
      <w:b/>
      <w:bCs/>
      <w:color w:val="000000"/>
      <w:sz w:val="24"/>
      <w:szCs w:val="24"/>
      <w:lang w:val="nl-BE" w:eastAsia="nl-BE"/>
    </w:rPr>
  </w:style>
  <w:style w:type="paragraph" w:customStyle="1" w:styleId="xl110">
    <w:name w:val="xl110"/>
    <w:basedOn w:val="Normal"/>
    <w:rsid w:val="00D16ED2"/>
    <w:pPr>
      <w:pBdr>
        <w:left w:val="single" w:sz="4" w:space="0" w:color="auto"/>
        <w:bottom w:val="single" w:sz="4" w:space="0" w:color="auto"/>
        <w:right w:val="single" w:sz="4" w:space="0" w:color="FFFFFF"/>
      </w:pBdr>
      <w:spacing w:before="100" w:beforeAutospacing="1" w:after="100" w:afterAutospacing="1" w:line="240" w:lineRule="auto"/>
    </w:pPr>
    <w:rPr>
      <w:rFonts w:ascii="Univers" w:eastAsia="Times New Roman" w:hAnsi="Univers" w:cs="Times New Roman"/>
      <w:color w:val="000000"/>
      <w:sz w:val="18"/>
      <w:szCs w:val="18"/>
      <w:lang w:val="nl-BE" w:eastAsia="nl-BE"/>
    </w:rPr>
  </w:style>
  <w:style w:type="paragraph" w:customStyle="1" w:styleId="xl111">
    <w:name w:val="xl111"/>
    <w:basedOn w:val="Normal"/>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2">
    <w:name w:val="xl112"/>
    <w:basedOn w:val="Normal"/>
    <w:rsid w:val="00D16ED2"/>
    <w:pPr>
      <w:pBdr>
        <w:left w:val="single" w:sz="4" w:space="0" w:color="FFFFFF"/>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3">
    <w:name w:val="xl113"/>
    <w:basedOn w:val="Normal"/>
    <w:rsid w:val="00D16ED2"/>
    <w:pPr>
      <w:pBdr>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4">
    <w:name w:val="xl114"/>
    <w:basedOn w:val="Normal"/>
    <w:rsid w:val="00D16ED2"/>
    <w:pPr>
      <w:pBdr>
        <w:left w:val="single" w:sz="4" w:space="0" w:color="FFFFFF"/>
        <w:bottom w:val="single" w:sz="4" w:space="0" w:color="auto"/>
        <w:right w:val="single" w:sz="4" w:space="0" w:color="FFFFFF"/>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5">
    <w:name w:val="xl115"/>
    <w:basedOn w:val="Normal"/>
    <w:rsid w:val="00D16ED2"/>
    <w:pPr>
      <w:pBdr>
        <w:left w:val="single" w:sz="4" w:space="0" w:color="auto"/>
        <w:bottom w:val="single" w:sz="4" w:space="0" w:color="auto"/>
        <w:right w:val="single" w:sz="4" w:space="0" w:color="auto"/>
      </w:pBdr>
      <w:spacing w:before="100" w:beforeAutospacing="1" w:after="100" w:afterAutospacing="1" w:line="240" w:lineRule="auto"/>
      <w:jc w:val="right"/>
    </w:pPr>
    <w:rPr>
      <w:rFonts w:ascii="Univers" w:eastAsia="Times New Roman" w:hAnsi="Univers" w:cs="Times New Roman"/>
      <w:color w:val="000000"/>
      <w:sz w:val="18"/>
      <w:szCs w:val="18"/>
      <w:lang w:val="nl-BE" w:eastAsia="nl-BE"/>
    </w:rPr>
  </w:style>
  <w:style w:type="paragraph" w:customStyle="1" w:styleId="xl116">
    <w:name w:val="xl116"/>
    <w:basedOn w:val="Normal"/>
    <w:rsid w:val="00D16ED2"/>
    <w:pP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7">
    <w:name w:val="xl117"/>
    <w:basedOn w:val="Normal"/>
    <w:rsid w:val="00D16ED2"/>
    <w:pPr>
      <w:pBdr>
        <w:top w:val="single" w:sz="4" w:space="0" w:color="auto"/>
        <w:lef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8">
    <w:name w:val="xl118"/>
    <w:basedOn w:val="Normal"/>
    <w:rsid w:val="00D16ED2"/>
    <w:pPr>
      <w:pBdr>
        <w:top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19">
    <w:name w:val="xl119"/>
    <w:basedOn w:val="Normal"/>
    <w:rsid w:val="00D16ED2"/>
    <w:pPr>
      <w:pBdr>
        <w:top w:val="single" w:sz="4" w:space="0" w:color="auto"/>
        <w:right w:val="single" w:sz="4" w:space="0" w:color="auto"/>
      </w:pBdr>
      <w:shd w:val="clear" w:color="000000" w:fill="FFFFFF"/>
      <w:spacing w:before="100" w:beforeAutospacing="1" w:after="100" w:afterAutospacing="1" w:line="240" w:lineRule="auto"/>
      <w:jc w:val="center"/>
    </w:pPr>
    <w:rPr>
      <w:rFonts w:ascii="Univers" w:eastAsia="Times New Roman" w:hAnsi="Univers" w:cs="Times New Roman"/>
      <w:b/>
      <w:bCs/>
      <w:color w:val="000000"/>
      <w:sz w:val="24"/>
      <w:szCs w:val="24"/>
      <w:lang w:val="nl-BE" w:eastAsia="nl-BE"/>
    </w:rPr>
  </w:style>
  <w:style w:type="paragraph" w:customStyle="1" w:styleId="xl120">
    <w:name w:val="xl120"/>
    <w:basedOn w:val="Normal"/>
    <w:rsid w:val="00D16E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1">
    <w:name w:val="xl121"/>
    <w:basedOn w:val="Normal"/>
    <w:rsid w:val="00D16ED2"/>
    <w:pPr>
      <w:pBdr>
        <w:top w:val="single" w:sz="4" w:space="0" w:color="auto"/>
        <w:bottom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122">
    <w:name w:val="xl122"/>
    <w:basedOn w:val="Normal"/>
    <w:rsid w:val="00D16E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eastAsia="Times New Roman" w:hAnsi="Univers" w:cs="Times New Roman"/>
      <w:b/>
      <w:bCs/>
      <w:sz w:val="28"/>
      <w:szCs w:val="28"/>
      <w:lang w:val="nl-BE" w:eastAsia="nl-BE"/>
    </w:rPr>
  </w:style>
  <w:style w:type="paragraph" w:customStyle="1" w:styleId="xl65">
    <w:name w:val="xl65"/>
    <w:basedOn w:val="Normal"/>
    <w:rsid w:val="00D16ED2"/>
    <w:pPr>
      <w:spacing w:before="100" w:beforeAutospacing="1" w:after="100" w:afterAutospacing="1" w:line="240" w:lineRule="auto"/>
    </w:pPr>
    <w:rPr>
      <w:rFonts w:ascii="Univers" w:eastAsia="Times New Roman" w:hAnsi="Univers" w:cs="Times New Roman"/>
      <w:color w:val="000000"/>
      <w:sz w:val="24"/>
      <w:szCs w:val="24"/>
      <w:lang w:val="nl-BE" w:eastAsia="nl-BE"/>
    </w:rPr>
  </w:style>
  <w:style w:type="paragraph" w:customStyle="1" w:styleId="xl66">
    <w:name w:val="xl66"/>
    <w:basedOn w:val="Normal"/>
    <w:rsid w:val="00D16ED2"/>
    <w:pPr>
      <w:pBdr>
        <w:left w:val="single" w:sz="4" w:space="0" w:color="auto"/>
      </w:pBdr>
      <w:shd w:val="clear" w:color="000000" w:fill="FFFFFF"/>
      <w:spacing w:before="100" w:beforeAutospacing="1" w:after="100" w:afterAutospacing="1" w:line="240" w:lineRule="auto"/>
    </w:pPr>
    <w:rPr>
      <w:rFonts w:ascii="Univers" w:eastAsia="Times New Roman" w:hAnsi="Univers" w:cs="Times New Roman"/>
      <w:color w:val="000000"/>
      <w:sz w:val="24"/>
      <w:szCs w:val="24"/>
      <w:lang w:val="nl-BE" w:eastAsia="nl-BE"/>
    </w:rPr>
  </w:style>
  <w:style w:type="character" w:customStyle="1" w:styleId="Mentionnonrsolue1">
    <w:name w:val="Mention non résolue1"/>
    <w:basedOn w:val="DefaultParagraphFont"/>
    <w:uiPriority w:val="99"/>
    <w:semiHidden/>
    <w:unhideWhenUsed/>
    <w:rsid w:val="004C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0929">
      <w:bodyDiv w:val="1"/>
      <w:marLeft w:val="0"/>
      <w:marRight w:val="0"/>
      <w:marTop w:val="0"/>
      <w:marBottom w:val="0"/>
      <w:divBdr>
        <w:top w:val="none" w:sz="0" w:space="0" w:color="auto"/>
        <w:left w:val="none" w:sz="0" w:space="0" w:color="auto"/>
        <w:bottom w:val="none" w:sz="0" w:space="0" w:color="auto"/>
        <w:right w:val="none" w:sz="0" w:space="0" w:color="auto"/>
      </w:divBdr>
    </w:div>
    <w:div w:id="651562525">
      <w:bodyDiv w:val="1"/>
      <w:marLeft w:val="0"/>
      <w:marRight w:val="0"/>
      <w:marTop w:val="0"/>
      <w:marBottom w:val="0"/>
      <w:divBdr>
        <w:top w:val="none" w:sz="0" w:space="0" w:color="auto"/>
        <w:left w:val="none" w:sz="0" w:space="0" w:color="auto"/>
        <w:bottom w:val="none" w:sz="0" w:space="0" w:color="auto"/>
        <w:right w:val="none" w:sz="0" w:space="0" w:color="auto"/>
      </w:divBdr>
    </w:div>
    <w:div w:id="686445972">
      <w:bodyDiv w:val="1"/>
      <w:marLeft w:val="0"/>
      <w:marRight w:val="0"/>
      <w:marTop w:val="0"/>
      <w:marBottom w:val="0"/>
      <w:divBdr>
        <w:top w:val="none" w:sz="0" w:space="0" w:color="auto"/>
        <w:left w:val="none" w:sz="0" w:space="0" w:color="auto"/>
        <w:bottom w:val="none" w:sz="0" w:space="0" w:color="auto"/>
        <w:right w:val="none" w:sz="0" w:space="0" w:color="auto"/>
      </w:divBdr>
    </w:div>
    <w:div w:id="780297412">
      <w:bodyDiv w:val="1"/>
      <w:marLeft w:val="0"/>
      <w:marRight w:val="0"/>
      <w:marTop w:val="0"/>
      <w:marBottom w:val="0"/>
      <w:divBdr>
        <w:top w:val="none" w:sz="0" w:space="0" w:color="auto"/>
        <w:left w:val="none" w:sz="0" w:space="0" w:color="auto"/>
        <w:bottom w:val="none" w:sz="0" w:space="0" w:color="auto"/>
        <w:right w:val="none" w:sz="0" w:space="0" w:color="auto"/>
      </w:divBdr>
    </w:div>
    <w:div w:id="7984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192.168.102.2\data%20Brussel\Febeltex\Economisch\Thema\Economie\Economische%20en%20industi&#235;le%20statistieken\subsectoren\Grafiek%20meubelhandel8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345482875652056E-2"/>
          <c:y val="9.8173009229295963E-2"/>
          <c:w val="0.92939878491376426"/>
          <c:h val="0.7224937967526025"/>
        </c:manualLayout>
      </c:layout>
      <c:barChart>
        <c:barDir val="col"/>
        <c:grouping val="clustered"/>
        <c:varyColors val="0"/>
        <c:ser>
          <c:idx val="1"/>
          <c:order val="0"/>
          <c:tx>
            <c:strRef>
              <c:f>Feuil1!$A$3</c:f>
              <c:strCache>
                <c:ptCount val="1"/>
                <c:pt idx="0">
                  <c:v>Industrie de l’ameublement</c:v>
                </c:pt>
              </c:strCache>
            </c:strRef>
          </c:tx>
          <c:spPr>
            <a:solidFill>
              <a:srgbClr val="FFC000"/>
            </a:solidFill>
            <a:ln>
              <a:noFill/>
            </a:ln>
            <a:effectLst/>
          </c:spPr>
          <c:invertIfNegative val="0"/>
          <c:dLbls>
            <c:dLbl>
              <c:idx val="8"/>
              <c:layout>
                <c:manualLayout>
                  <c:x val="-8.3745982607144334E-17"/>
                  <c:y val="3.11430447110620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2">
                          <a:lumMod val="50000"/>
                        </a:schemeClr>
                      </a:solidFill>
                      <a:latin typeface="+mn-lt"/>
                      <a:ea typeface="+mn-ea"/>
                      <a:cs typeface="+mn-cs"/>
                    </a:defRPr>
                  </a:pPr>
                  <a:endParaRPr lang="nl-BE"/>
                </a:p>
              </c:txPr>
              <c:showLegendKey val="0"/>
              <c:showVal val="1"/>
              <c:showCatName val="0"/>
              <c:showSerName val="0"/>
              <c:showPercent val="0"/>
              <c:showBubbleSize val="0"/>
              <c:extLst>
                <c:ext xmlns:c15="http://schemas.microsoft.com/office/drawing/2012/chart" uri="{CE6537A1-D6FC-4f65-9D91-7224C49458BB}">
                  <c15:layout>
                    <c:manualLayout>
                      <c:w val="2.8470156336732159E-2"/>
                      <c:h val="0.11463563474938876"/>
                    </c:manualLayout>
                  </c15:layout>
                </c:ext>
                <c:ext xmlns:c16="http://schemas.microsoft.com/office/drawing/2014/chart" uri="{C3380CC4-5D6E-409C-BE32-E72D297353CC}">
                  <c16:uniqueId val="{00000000-990C-416B-8334-4CEB372647E0}"/>
                </c:ext>
              </c:extLst>
            </c:dLbl>
            <c:dLbl>
              <c:idx val="13"/>
              <c:layout>
                <c:manualLayout>
                  <c:x val="-3.542821318783155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0C-416B-8334-4CEB372647E0}"/>
                </c:ext>
              </c:extLst>
            </c:dLbl>
            <c:dLbl>
              <c:idx val="15"/>
              <c:layout>
                <c:manualLayout>
                  <c:x val="2.2840077285785926E-3"/>
                  <c:y val="-8.0081581159264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0C-416B-8334-4CEB372647E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Feuil1!$B$1:$S$1</c:f>
              <c:strCache>
                <c:ptCount val="18"/>
                <c:pt idx="0">
                  <c:v>2005 </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6 m 2022</c:v>
                </c:pt>
              </c:strCache>
            </c:strRef>
          </c:cat>
          <c:val>
            <c:numRef>
              <c:f>Feuil1!$B$3:$S$3</c:f>
              <c:numCache>
                <c:formatCode>0.0\ </c:formatCode>
                <c:ptCount val="18"/>
                <c:pt idx="0" formatCode="0.0_)">
                  <c:v>2.2999999999999998</c:v>
                </c:pt>
                <c:pt idx="1">
                  <c:v>0.2</c:v>
                </c:pt>
                <c:pt idx="2">
                  <c:v>3.8</c:v>
                </c:pt>
                <c:pt idx="3">
                  <c:v>-4.8</c:v>
                </c:pt>
                <c:pt idx="4">
                  <c:v>-13</c:v>
                </c:pt>
                <c:pt idx="5">
                  <c:v>0.5</c:v>
                </c:pt>
                <c:pt idx="6">
                  <c:v>4.7</c:v>
                </c:pt>
                <c:pt idx="7" formatCode="0.0">
                  <c:v>4.5999999999999996</c:v>
                </c:pt>
                <c:pt idx="8" formatCode="0.0">
                  <c:v>-4.4000000000000004</c:v>
                </c:pt>
                <c:pt idx="9" formatCode="0.0">
                  <c:v>-2.9</c:v>
                </c:pt>
                <c:pt idx="10" formatCode="0.0">
                  <c:v>-1.3</c:v>
                </c:pt>
                <c:pt idx="11" formatCode="#,##0.0_);\(#,##0.0\)">
                  <c:v>2.1</c:v>
                </c:pt>
                <c:pt idx="12" formatCode="#,##0.0">
                  <c:v>-7.3</c:v>
                </c:pt>
                <c:pt idx="13" formatCode="#,##0.0">
                  <c:v>-1.4</c:v>
                </c:pt>
                <c:pt idx="14" formatCode="General">
                  <c:v>0.3</c:v>
                </c:pt>
                <c:pt idx="15" formatCode="General">
                  <c:v>-1.2</c:v>
                </c:pt>
                <c:pt idx="16" formatCode="General">
                  <c:v>9.9</c:v>
                </c:pt>
                <c:pt idx="17" formatCode="General">
                  <c:v>2.9</c:v>
                </c:pt>
              </c:numCache>
            </c:numRef>
          </c:val>
          <c:extLst>
            <c:ext xmlns:c16="http://schemas.microsoft.com/office/drawing/2014/chart" uri="{C3380CC4-5D6E-409C-BE32-E72D297353CC}">
              <c16:uniqueId val="{00000003-990C-416B-8334-4CEB372647E0}"/>
            </c:ext>
          </c:extLst>
        </c:ser>
        <c:dLbls>
          <c:showLegendKey val="0"/>
          <c:showVal val="0"/>
          <c:showCatName val="0"/>
          <c:showSerName val="0"/>
          <c:showPercent val="0"/>
          <c:showBubbleSize val="0"/>
        </c:dLbls>
        <c:gapWidth val="80"/>
        <c:axId val="220503040"/>
        <c:axId val="219794816"/>
      </c:barChart>
      <c:catAx>
        <c:axId val="2205030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nl-BE"/>
          </a:p>
        </c:txPr>
        <c:crossAx val="219794816"/>
        <c:crosses val="autoZero"/>
        <c:auto val="1"/>
        <c:lblAlgn val="ctr"/>
        <c:lblOffset val="100"/>
        <c:noMultiLvlLbl val="0"/>
      </c:catAx>
      <c:valAx>
        <c:axId val="219794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050304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66360454943561E-2"/>
          <c:y val="0.18590093328760612"/>
          <c:w val="0.92507523760500066"/>
          <c:h val="0.69258888515566119"/>
        </c:manualLayout>
      </c:layout>
      <c:lineChart>
        <c:grouping val="standard"/>
        <c:varyColors val="0"/>
        <c:ser>
          <c:idx val="0"/>
          <c:order val="0"/>
          <c:spPr>
            <a:ln w="38100">
              <a:solidFill>
                <a:srgbClr val="FFC000"/>
              </a:solidFill>
              <a:prstDash val="solid"/>
            </a:ln>
          </c:spPr>
          <c:marker>
            <c:symbol val="none"/>
          </c:marker>
          <c:dLbls>
            <c:numFmt formatCode="#,##0.0" sourceLinked="0"/>
            <c:spPr>
              <a:noFill/>
              <a:ln>
                <a:noFill/>
              </a:ln>
              <a:effectLst/>
            </c:spPr>
            <c:txPr>
              <a:bodyPr wrap="square" lIns="38100" tIns="19050" rIns="38100" bIns="19050" anchor="ctr">
                <a:spAutoFit/>
              </a:bodyPr>
              <a:lstStyle/>
              <a:p>
                <a:pPr>
                  <a:defRPr sz="800"/>
                </a:pPr>
                <a:endParaRPr lang="nl-B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PRODKAP!$A$54:$A$85</c:f>
              <c:strCache>
                <c:ptCount val="32"/>
                <c:pt idx="0">
                  <c:v>III/14</c:v>
                </c:pt>
                <c:pt idx="1">
                  <c:v>IV/14</c:v>
                </c:pt>
                <c:pt idx="2">
                  <c:v>I/15</c:v>
                </c:pt>
                <c:pt idx="3">
                  <c:v>II/15</c:v>
                </c:pt>
                <c:pt idx="4">
                  <c:v>III/15</c:v>
                </c:pt>
                <c:pt idx="5">
                  <c:v>IV/15</c:v>
                </c:pt>
                <c:pt idx="6">
                  <c:v>I/16</c:v>
                </c:pt>
                <c:pt idx="7">
                  <c:v>II/16</c:v>
                </c:pt>
                <c:pt idx="8">
                  <c:v>III/16</c:v>
                </c:pt>
                <c:pt idx="9">
                  <c:v>IV/16</c:v>
                </c:pt>
                <c:pt idx="10">
                  <c:v>I/17</c:v>
                </c:pt>
                <c:pt idx="11">
                  <c:v>II/17</c:v>
                </c:pt>
                <c:pt idx="12">
                  <c:v>III/17</c:v>
                </c:pt>
                <c:pt idx="13">
                  <c:v>IV/17</c:v>
                </c:pt>
                <c:pt idx="14">
                  <c:v>I/18</c:v>
                </c:pt>
                <c:pt idx="15">
                  <c:v>II/18</c:v>
                </c:pt>
                <c:pt idx="16">
                  <c:v>III/18</c:v>
                </c:pt>
                <c:pt idx="17">
                  <c:v>IV/18</c:v>
                </c:pt>
                <c:pt idx="18">
                  <c:v>I/19</c:v>
                </c:pt>
                <c:pt idx="19">
                  <c:v>II/19</c:v>
                </c:pt>
                <c:pt idx="20">
                  <c:v>III/19</c:v>
                </c:pt>
                <c:pt idx="21">
                  <c:v>IV/19</c:v>
                </c:pt>
                <c:pt idx="22">
                  <c:v>I/20</c:v>
                </c:pt>
                <c:pt idx="23">
                  <c:v>II/20</c:v>
                </c:pt>
                <c:pt idx="24">
                  <c:v>III/20</c:v>
                </c:pt>
                <c:pt idx="25">
                  <c:v>IV/20</c:v>
                </c:pt>
                <c:pt idx="26">
                  <c:v>I/21</c:v>
                </c:pt>
                <c:pt idx="27">
                  <c:v>II/21</c:v>
                </c:pt>
                <c:pt idx="28">
                  <c:v>III/21</c:v>
                </c:pt>
                <c:pt idx="29">
                  <c:v>IV/21</c:v>
                </c:pt>
                <c:pt idx="30">
                  <c:v>I/22</c:v>
                </c:pt>
                <c:pt idx="31">
                  <c:v>II/22</c:v>
                </c:pt>
              </c:strCache>
            </c:strRef>
          </c:cat>
          <c:val>
            <c:numRef>
              <c:f>PRODKAP!$B$54:$B$85</c:f>
              <c:numCache>
                <c:formatCode>0.0</c:formatCode>
                <c:ptCount val="32"/>
                <c:pt idx="0">
                  <c:v>76.430000000000007</c:v>
                </c:pt>
                <c:pt idx="1">
                  <c:v>76.790000000000006</c:v>
                </c:pt>
                <c:pt idx="2">
                  <c:v>79.900000000000006</c:v>
                </c:pt>
                <c:pt idx="3">
                  <c:v>80.7</c:v>
                </c:pt>
                <c:pt idx="4">
                  <c:v>82.5</c:v>
                </c:pt>
                <c:pt idx="5">
                  <c:v>82.88</c:v>
                </c:pt>
                <c:pt idx="6">
                  <c:v>81.2</c:v>
                </c:pt>
                <c:pt idx="7">
                  <c:v>80.099999999999994</c:v>
                </c:pt>
                <c:pt idx="8">
                  <c:v>80.8</c:v>
                </c:pt>
                <c:pt idx="9">
                  <c:v>80.3</c:v>
                </c:pt>
                <c:pt idx="10" formatCode="0.00">
                  <c:v>82.5</c:v>
                </c:pt>
                <c:pt idx="11" formatCode="0.00">
                  <c:v>80.3</c:v>
                </c:pt>
                <c:pt idx="12" formatCode="0.00">
                  <c:v>79</c:v>
                </c:pt>
                <c:pt idx="13" formatCode="0.00">
                  <c:v>75</c:v>
                </c:pt>
                <c:pt idx="14" formatCode="0.00">
                  <c:v>80.900000000000006</c:v>
                </c:pt>
                <c:pt idx="15" formatCode="0.00">
                  <c:v>79.900000000000006</c:v>
                </c:pt>
                <c:pt idx="16" formatCode="0.00">
                  <c:v>82</c:v>
                </c:pt>
                <c:pt idx="17" formatCode="0.00">
                  <c:v>81.5</c:v>
                </c:pt>
                <c:pt idx="18" formatCode="0.00">
                  <c:v>79</c:v>
                </c:pt>
                <c:pt idx="19" formatCode="0.00">
                  <c:v>80.7</c:v>
                </c:pt>
                <c:pt idx="20" formatCode="0.00">
                  <c:v>81.5</c:v>
                </c:pt>
                <c:pt idx="21" formatCode="0.00">
                  <c:v>83.2</c:v>
                </c:pt>
                <c:pt idx="22" formatCode="0.00">
                  <c:v>82</c:v>
                </c:pt>
                <c:pt idx="23" formatCode="0.00">
                  <c:v>84</c:v>
                </c:pt>
                <c:pt idx="24" formatCode="0.00">
                  <c:v>86</c:v>
                </c:pt>
                <c:pt idx="25" formatCode="0.00">
                  <c:v>83.3</c:v>
                </c:pt>
                <c:pt idx="26" formatCode="0.00">
                  <c:v>86.5</c:v>
                </c:pt>
                <c:pt idx="27" formatCode="0.00">
                  <c:v>87.5</c:v>
                </c:pt>
                <c:pt idx="28" formatCode="0.00">
                  <c:v>85.9</c:v>
                </c:pt>
                <c:pt idx="29" formatCode="0.00">
                  <c:v>86.2</c:v>
                </c:pt>
                <c:pt idx="30" formatCode="0.00">
                  <c:v>83.4</c:v>
                </c:pt>
                <c:pt idx="31" formatCode="0.00">
                  <c:v>89</c:v>
                </c:pt>
              </c:numCache>
            </c:numRef>
          </c:val>
          <c:smooth val="0"/>
          <c:extLst>
            <c:ext xmlns:c16="http://schemas.microsoft.com/office/drawing/2014/chart" uri="{C3380CC4-5D6E-409C-BE32-E72D297353CC}">
              <c16:uniqueId val="{00000000-DE91-4F20-A5BF-1B5A68FE0EC7}"/>
            </c:ext>
          </c:extLst>
        </c:ser>
        <c:dLbls>
          <c:dLblPos val="t"/>
          <c:showLegendKey val="0"/>
          <c:showVal val="1"/>
          <c:showCatName val="0"/>
          <c:showSerName val="0"/>
          <c:showPercent val="0"/>
          <c:showBubbleSize val="0"/>
        </c:dLbls>
        <c:smooth val="0"/>
        <c:axId val="220503552"/>
        <c:axId val="219796544"/>
      </c:lineChart>
      <c:catAx>
        <c:axId val="220503552"/>
        <c:scaling>
          <c:orientation val="minMax"/>
        </c:scaling>
        <c:delete val="0"/>
        <c:axPos val="b"/>
        <c:numFmt formatCode="General" sourceLinked="1"/>
        <c:majorTickMark val="out"/>
        <c:minorTickMark val="none"/>
        <c:tickLblPos val="nextTo"/>
        <c:spPr>
          <a:ln w="1963">
            <a:solidFill>
              <a:srgbClr val="000000"/>
            </a:solidFill>
            <a:prstDash val="solid"/>
          </a:ln>
        </c:spPr>
        <c:txPr>
          <a:bodyPr rot="0" vert="horz"/>
          <a:lstStyle/>
          <a:p>
            <a:pPr>
              <a:defRPr sz="500"/>
            </a:pPr>
            <a:endParaRPr lang="nl-BE"/>
          </a:p>
        </c:txPr>
        <c:crossAx val="219796544"/>
        <c:crosses val="autoZero"/>
        <c:auto val="1"/>
        <c:lblAlgn val="ctr"/>
        <c:lblOffset val="100"/>
        <c:tickLblSkip val="1"/>
        <c:tickMarkSkip val="1"/>
        <c:noMultiLvlLbl val="0"/>
      </c:catAx>
      <c:valAx>
        <c:axId val="219796544"/>
        <c:scaling>
          <c:orientation val="minMax"/>
          <c:min val="60"/>
        </c:scaling>
        <c:delete val="0"/>
        <c:axPos val="l"/>
        <c:majorGridlines>
          <c:spPr>
            <a:ln w="1963">
              <a:solidFill>
                <a:srgbClr val="000000"/>
              </a:solidFill>
              <a:prstDash val="sysDot"/>
            </a:ln>
          </c:spPr>
        </c:majorGridlines>
        <c:title>
          <c:tx>
            <c:rich>
              <a:bodyPr rot="0" vert="horz"/>
              <a:lstStyle/>
              <a:p>
                <a:pPr algn="ctr" rtl="0">
                  <a:defRPr b="1"/>
                </a:pPr>
                <a:r>
                  <a:rPr lang="fr-BE" b="1"/>
                  <a:t>en %</a:t>
                </a:r>
              </a:p>
            </c:rich>
          </c:tx>
          <c:layout>
            <c:manualLayout>
              <c:xMode val="edge"/>
              <c:yMode val="edge"/>
              <c:x val="1.3923674669817566E-2"/>
              <c:y val="3.234833191416079E-2"/>
            </c:manualLayout>
          </c:layout>
          <c:overlay val="0"/>
          <c:spPr>
            <a:noFill/>
            <a:ln w="22404">
              <a:noFill/>
            </a:ln>
          </c:spPr>
        </c:title>
        <c:numFmt formatCode="0" sourceLinked="0"/>
        <c:majorTickMark val="out"/>
        <c:minorTickMark val="none"/>
        <c:tickLblPos val="nextTo"/>
        <c:spPr>
          <a:ln w="1963">
            <a:solidFill>
              <a:srgbClr val="000000"/>
            </a:solidFill>
            <a:prstDash val="solid"/>
          </a:ln>
        </c:spPr>
        <c:txPr>
          <a:bodyPr rot="0" vert="horz"/>
          <a:lstStyle/>
          <a:p>
            <a:pPr>
              <a:defRPr/>
            </a:pPr>
            <a:endParaRPr lang="nl-BE"/>
          </a:p>
        </c:txPr>
        <c:crossAx val="220503552"/>
        <c:crosses val="autoZero"/>
        <c:crossBetween val="between"/>
      </c:valAx>
      <c:spPr>
        <a:noFill/>
        <a:ln w="1963">
          <a:solidFill>
            <a:srgbClr val="000000"/>
          </a:solidFill>
          <a:prstDash val="solid"/>
        </a:ln>
      </c:spPr>
    </c:plotArea>
    <c:plotVisOnly val="1"/>
    <c:dispBlanksAs val="gap"/>
    <c:showDLblsOverMax val="0"/>
  </c:chart>
  <c:spPr>
    <a:noFill/>
    <a:ln>
      <a:noFill/>
    </a:ln>
  </c:spPr>
  <c:txPr>
    <a:bodyPr/>
    <a:lstStyle/>
    <a:p>
      <a:pPr>
        <a:defRPr sz="1000" b="0" i="0" u="none" strike="noStrike" baseline="0">
          <a:solidFill>
            <a:srgbClr val="000000"/>
          </a:solidFill>
          <a:latin typeface="Calibri" pitchFamily="34" charset="0"/>
          <a:ea typeface="Myriad Pro"/>
          <a:cs typeface="Calibri" pitchFamily="34" charset="0"/>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7624671916011"/>
          <c:y val="6.5364875228600086E-2"/>
          <c:w val="0.89872371780879601"/>
          <c:h val="0.92314044193763889"/>
        </c:manualLayout>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Blad1!$A$18:$A$37</c:f>
              <c:strCache>
                <c:ptCount val="20"/>
                <c:pt idx="0">
                  <c:v>J 2021</c:v>
                </c:pt>
                <c:pt idx="1">
                  <c:v>F</c:v>
                </c:pt>
                <c:pt idx="2">
                  <c:v>M</c:v>
                </c:pt>
                <c:pt idx="3">
                  <c:v>A</c:v>
                </c:pt>
                <c:pt idx="4">
                  <c:v>M</c:v>
                </c:pt>
                <c:pt idx="5">
                  <c:v>J</c:v>
                </c:pt>
                <c:pt idx="6">
                  <c:v>J</c:v>
                </c:pt>
                <c:pt idx="7">
                  <c:v>A</c:v>
                </c:pt>
                <c:pt idx="8">
                  <c:v>S</c:v>
                </c:pt>
                <c:pt idx="9">
                  <c:v>O</c:v>
                </c:pt>
                <c:pt idx="10">
                  <c:v>N</c:v>
                </c:pt>
                <c:pt idx="11">
                  <c:v>D</c:v>
                </c:pt>
                <c:pt idx="12">
                  <c:v>J 2022</c:v>
                </c:pt>
                <c:pt idx="13">
                  <c:v>F</c:v>
                </c:pt>
                <c:pt idx="14">
                  <c:v>M</c:v>
                </c:pt>
                <c:pt idx="15">
                  <c:v>A</c:v>
                </c:pt>
                <c:pt idx="16">
                  <c:v>M</c:v>
                </c:pt>
                <c:pt idx="17">
                  <c:v>J</c:v>
                </c:pt>
                <c:pt idx="18">
                  <c:v>J</c:v>
                </c:pt>
                <c:pt idx="19">
                  <c:v>A</c:v>
                </c:pt>
              </c:strCache>
            </c:strRef>
          </c:cat>
          <c:val>
            <c:numRef>
              <c:f>Blad1!$B$18:$B$37</c:f>
              <c:numCache>
                <c:formatCode>0.0</c:formatCode>
                <c:ptCount val="20"/>
                <c:pt idx="0">
                  <c:v>-1</c:v>
                </c:pt>
                <c:pt idx="1">
                  <c:v>1</c:v>
                </c:pt>
                <c:pt idx="2">
                  <c:v>114.4</c:v>
                </c:pt>
                <c:pt idx="3">
                  <c:v>383.1</c:v>
                </c:pt>
                <c:pt idx="4">
                  <c:v>23.6</c:v>
                </c:pt>
                <c:pt idx="5">
                  <c:v>-22.1</c:v>
                </c:pt>
                <c:pt idx="6">
                  <c:v>8.8000000000000007</c:v>
                </c:pt>
                <c:pt idx="7">
                  <c:v>-7.8</c:v>
                </c:pt>
                <c:pt idx="8">
                  <c:v>-11.4</c:v>
                </c:pt>
                <c:pt idx="9">
                  <c:v>-13</c:v>
                </c:pt>
                <c:pt idx="10">
                  <c:v>108.3</c:v>
                </c:pt>
                <c:pt idx="11">
                  <c:v>4.9000000000000004</c:v>
                </c:pt>
                <c:pt idx="12">
                  <c:v>6.1</c:v>
                </c:pt>
                <c:pt idx="13">
                  <c:v>-12</c:v>
                </c:pt>
                <c:pt idx="14">
                  <c:v>-14.4</c:v>
                </c:pt>
                <c:pt idx="15">
                  <c:v>19.100000000000001</c:v>
                </c:pt>
                <c:pt idx="16">
                  <c:v>-14.8</c:v>
                </c:pt>
                <c:pt idx="17">
                  <c:v>0.1</c:v>
                </c:pt>
                <c:pt idx="18">
                  <c:v>-10</c:v>
                </c:pt>
                <c:pt idx="19">
                  <c:v>-2.8</c:v>
                </c:pt>
              </c:numCache>
            </c:numRef>
          </c:val>
          <c:extLst>
            <c:ext xmlns:c16="http://schemas.microsoft.com/office/drawing/2014/chart" uri="{C3380CC4-5D6E-409C-BE32-E72D297353CC}">
              <c16:uniqueId val="{00000000-BC62-4382-817C-28651F433277}"/>
            </c:ext>
          </c:extLst>
        </c:ser>
        <c:dLbls>
          <c:dLblPos val="outEnd"/>
          <c:showLegendKey val="0"/>
          <c:showVal val="1"/>
          <c:showCatName val="0"/>
          <c:showSerName val="0"/>
          <c:showPercent val="0"/>
          <c:showBubbleSize val="0"/>
        </c:dLbls>
        <c:gapWidth val="219"/>
        <c:overlap val="-27"/>
        <c:axId val="220502528"/>
        <c:axId val="219798272"/>
      </c:barChart>
      <c:catAx>
        <c:axId val="22050252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19798272"/>
        <c:crosses val="autoZero"/>
        <c:auto val="1"/>
        <c:lblAlgn val="ctr"/>
        <c:lblOffset val="100"/>
        <c:noMultiLvlLbl val="0"/>
      </c:catAx>
      <c:valAx>
        <c:axId val="219798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r>
                  <a:rPr lang="fr-BE"/>
                  <a:t>en</a:t>
                </a:r>
                <a:r>
                  <a:rPr lang="fr-BE" baseline="0"/>
                  <a:t> %</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050252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0.39164</cdr:x>
      <cdr:y>0.36201</cdr:y>
    </cdr:from>
    <cdr:to>
      <cdr:x>0.40825</cdr:x>
      <cdr:y>0.51296</cdr:y>
    </cdr:to>
    <cdr:sp macro="" textlink="">
      <cdr:nvSpPr>
        <cdr:cNvPr id="2" name="ZoneTexte 3">
          <a:extLst xmlns:a="http://schemas.openxmlformats.org/drawingml/2006/main">
            <a:ext uri="{FF2B5EF4-FFF2-40B4-BE49-F238E27FC236}">
              <a16:creationId xmlns:a16="http://schemas.microsoft.com/office/drawing/2014/main" id="{2CD5FDB1-5878-4319-8154-C548E49BC367}"/>
            </a:ext>
          </a:extLst>
        </cdr:cNvPr>
        <cdr:cNvSpPr txBox="1"/>
      </cdr:nvSpPr>
      <cdr:spPr>
        <a:xfrm xmlns:a="http://schemas.openxmlformats.org/drawingml/2006/main">
          <a:off x="4355351" y="1550080"/>
          <a:ext cx="184731" cy="646331"/>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fr-BE" sz="3600" dirty="0">
            <a:highlight>
              <a:srgbClr val="FFFF00"/>
            </a:highlight>
          </a:endParaRPr>
        </a:p>
      </cdr:txBody>
    </cdr:sp>
  </cdr:relSizeAnchor>
  <cdr:relSizeAnchor xmlns:cdr="http://schemas.openxmlformats.org/drawingml/2006/chartDrawing">
    <cdr:from>
      <cdr:x>0</cdr:x>
      <cdr:y>0.00365</cdr:y>
    </cdr:from>
    <cdr:to>
      <cdr:x>0.06338</cdr:x>
      <cdr:y>0.09658</cdr:y>
    </cdr:to>
    <cdr:sp macro="" textlink="">
      <cdr:nvSpPr>
        <cdr:cNvPr id="3" name="ZoneTexte 13">
          <a:extLst xmlns:a="http://schemas.openxmlformats.org/drawingml/2006/main">
            <a:ext uri="{FF2B5EF4-FFF2-40B4-BE49-F238E27FC236}">
              <a16:creationId xmlns:a16="http://schemas.microsoft.com/office/drawing/2014/main" id="{4BE815A8-3EB5-4D0F-9A2E-12355DF5FA89}"/>
            </a:ext>
          </a:extLst>
        </cdr:cNvPr>
        <cdr:cNvSpPr txBox="1"/>
      </cdr:nvSpPr>
      <cdr:spPr>
        <a:xfrm xmlns:a="http://schemas.openxmlformats.org/drawingml/2006/main">
          <a:off x="-903180" y="8996"/>
          <a:ext cx="365100" cy="22900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l" defTabSz="914400" rtl="0" eaLnBrk="1" fontAlgn="auto" latinLnBrk="0" hangingPunct="1">
            <a:lnSpc>
              <a:spcPct val="100000"/>
            </a:lnSpc>
            <a:spcBef>
              <a:spcPts val="0"/>
            </a:spcBef>
            <a:spcAft>
              <a:spcPts val="0"/>
            </a:spcAft>
            <a:buClrTx/>
            <a:buSzTx/>
            <a:buFontTx/>
            <a:buNone/>
            <a:tabLst/>
            <a:defRPr/>
          </a:pPr>
          <a:r>
            <a:rPr kumimoji="0" lang="fr-BE" sz="800" b="1" i="0" u="none" strike="noStrike" kern="1200" cap="none" spc="0" normalizeH="0" baseline="0">
              <a:ln>
                <a:noFill/>
              </a:ln>
              <a:solidFill>
                <a:prstClr val="black"/>
              </a:solidFill>
              <a:effectLst/>
              <a:uLnTx/>
              <a:uFillTx/>
              <a:latin typeface="Calibri" panose="020F0502020204030204"/>
              <a:ea typeface="+mn-ea"/>
              <a:cs typeface="+mn-cs"/>
            </a:rPr>
            <a:t>En %</a:t>
          </a:r>
        </a:p>
      </cdr:txBody>
    </cdr:sp>
  </cdr:relSizeAnchor>
  <cdr:relSizeAnchor xmlns:cdr="http://schemas.openxmlformats.org/drawingml/2006/chartDrawing">
    <cdr:from>
      <cdr:x>0</cdr:x>
      <cdr:y>0</cdr:y>
    </cdr:from>
    <cdr:to>
      <cdr:x>1</cdr:x>
      <cdr:y>0.1137</cdr:y>
    </cdr:to>
    <cdr:sp macro="" textlink="">
      <cdr:nvSpPr>
        <cdr:cNvPr id="4" name="ZoneTexte 11"/>
        <cdr:cNvSpPr txBox="1"/>
      </cdr:nvSpPr>
      <cdr:spPr>
        <a:xfrm xmlns:a="http://schemas.openxmlformats.org/drawingml/2006/main">
          <a:off x="0" y="0"/>
          <a:ext cx="5760085" cy="2802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nl-N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kumimoji="0" lang="fr-BE" sz="1200" b="1" i="0" u="none" strike="noStrike" kern="1200" cap="none" spc="0" normalizeH="0" baseline="0">
              <a:ln>
                <a:noFill/>
              </a:ln>
              <a:solidFill>
                <a:srgbClr val="3E3F2C"/>
              </a:solidFill>
              <a:effectLst/>
              <a:uLnTx/>
              <a:uFillTx/>
              <a:latin typeface="Calibri" panose="020F0502020204030204"/>
              <a:ea typeface="+mn-ea"/>
              <a:cs typeface="+mn-cs"/>
            </a:rPr>
            <a:t>Taux de croissance du chiffre d'affaires de l'industrie belge de l'ameublement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A8E5-9126-47F1-BF7C-1C677380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4538</Words>
  <Characters>24961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Hibert</dc:creator>
  <cp:keywords/>
  <dc:description/>
  <cp:lastModifiedBy>Thomas Hibert</cp:lastModifiedBy>
  <cp:revision>28</cp:revision>
  <cp:lastPrinted>2022-11-03T12:11:00Z</cp:lastPrinted>
  <dcterms:created xsi:type="dcterms:W3CDTF">2022-11-02T08:28:00Z</dcterms:created>
  <dcterms:modified xsi:type="dcterms:W3CDTF">2022-11-06T21:54:00Z</dcterms:modified>
</cp:coreProperties>
</file>