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2245" w14:textId="6FE0C831" w:rsidR="008815FD" w:rsidRDefault="005A3D23" w:rsidP="008815FD">
      <w:pPr>
        <w:jc w:val="both"/>
      </w:pPr>
      <w:r>
        <w:rPr>
          <w:noProof/>
        </w:rPr>
        <w:drawing>
          <wp:inline distT="0" distB="0" distL="0" distR="0" wp14:anchorId="1D6CE09C" wp14:editId="4623E3C9">
            <wp:extent cx="5760720" cy="96012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60720" cy="960120"/>
                    </a:xfrm>
                    <a:prstGeom prst="rect">
                      <a:avLst/>
                    </a:prstGeom>
                  </pic:spPr>
                </pic:pic>
              </a:graphicData>
            </a:graphic>
          </wp:inline>
        </w:drawing>
      </w:r>
    </w:p>
    <w:p w14:paraId="03376C7D" w14:textId="77777777" w:rsidR="008815FD" w:rsidRDefault="008815FD"/>
    <w:p w14:paraId="0049AC77" w14:textId="77777777" w:rsidR="005519EF" w:rsidRPr="008815FD" w:rsidRDefault="00DC3E47">
      <w:pPr>
        <w:rPr>
          <w:b/>
          <w:sz w:val="26"/>
          <w:szCs w:val="26"/>
        </w:rPr>
      </w:pPr>
      <w:r w:rsidRPr="008815FD">
        <w:rPr>
          <w:b/>
          <w:sz w:val="26"/>
          <w:szCs w:val="26"/>
        </w:rPr>
        <w:t>COMMUNIQUÉ FINAL DU SALON DU MEUBLE DE BRUXELLES 2022</w:t>
      </w:r>
    </w:p>
    <w:p w14:paraId="2569F56D" w14:textId="77777777" w:rsidR="00DC3E47" w:rsidRDefault="00DC3E47"/>
    <w:p w14:paraId="6CF916CE" w14:textId="463D5668" w:rsidR="008815FD" w:rsidRPr="008815FD" w:rsidRDefault="00FA7594">
      <w:pPr>
        <w:rPr>
          <w:b/>
        </w:rPr>
      </w:pPr>
      <w:r>
        <w:rPr>
          <w:b/>
        </w:rPr>
        <w:t xml:space="preserve">Back on </w:t>
      </w:r>
      <w:proofErr w:type="spellStart"/>
      <w:r>
        <w:rPr>
          <w:b/>
        </w:rPr>
        <w:t>track</w:t>
      </w:r>
      <w:proofErr w:type="spellEnd"/>
      <w:r w:rsidR="008815FD">
        <w:rPr>
          <w:b/>
        </w:rPr>
        <w:t> !</w:t>
      </w:r>
    </w:p>
    <w:p w14:paraId="2AECBFF8" w14:textId="77777777" w:rsidR="008815FD" w:rsidRDefault="008815FD">
      <w:pPr>
        <w:rPr>
          <w:i/>
        </w:rPr>
      </w:pPr>
    </w:p>
    <w:p w14:paraId="578D4C8F" w14:textId="77777777" w:rsidR="00DC3E47" w:rsidRPr="008815FD" w:rsidRDefault="00DC3E47">
      <w:pPr>
        <w:rPr>
          <w:i/>
        </w:rPr>
      </w:pPr>
      <w:r w:rsidRPr="008815FD">
        <w:rPr>
          <w:i/>
        </w:rPr>
        <w:t xml:space="preserve">Quiconque a </w:t>
      </w:r>
      <w:r w:rsidR="008815FD">
        <w:rPr>
          <w:i/>
        </w:rPr>
        <w:t xml:space="preserve">eu la chance de </w:t>
      </w:r>
      <w:r w:rsidRPr="008815FD">
        <w:rPr>
          <w:i/>
        </w:rPr>
        <w:t>déambul</w:t>
      </w:r>
      <w:r w:rsidR="008815FD">
        <w:rPr>
          <w:i/>
        </w:rPr>
        <w:t>er</w:t>
      </w:r>
      <w:r w:rsidRPr="008815FD">
        <w:rPr>
          <w:i/>
        </w:rPr>
        <w:t xml:space="preserve"> dans les couloirs du Salon du Meuble 2022 a indubitablement remarqué, outre la beauté des stands, l’omniprésence de visages souriants. L’atmosphère était bonne… excellente même. Le Salon du Meuble a </w:t>
      </w:r>
      <w:r w:rsidR="008815FD">
        <w:rPr>
          <w:i/>
        </w:rPr>
        <w:t>fait entrer</w:t>
      </w:r>
      <w:r w:rsidRPr="008815FD">
        <w:rPr>
          <w:i/>
        </w:rPr>
        <w:t xml:space="preserve"> </w:t>
      </w:r>
      <w:r w:rsidR="008815FD">
        <w:rPr>
          <w:i/>
        </w:rPr>
        <w:t>s</w:t>
      </w:r>
      <w:r w:rsidRPr="008815FD">
        <w:rPr>
          <w:i/>
        </w:rPr>
        <w:t xml:space="preserve">es visiteurs dans </w:t>
      </w:r>
      <w:r w:rsidR="008815FD">
        <w:rPr>
          <w:i/>
        </w:rPr>
        <w:t>une</w:t>
      </w:r>
      <w:r w:rsidRPr="008815FD">
        <w:rPr>
          <w:i/>
        </w:rPr>
        <w:t xml:space="preserve"> bulle d’air de positivité, où même les défis actuels </w:t>
      </w:r>
      <w:r w:rsidR="008815FD">
        <w:rPr>
          <w:i/>
        </w:rPr>
        <w:t>semblaient soudain appartenir au passé</w:t>
      </w:r>
      <w:r w:rsidRPr="008815FD">
        <w:rPr>
          <w:i/>
        </w:rPr>
        <w:t xml:space="preserve">. </w:t>
      </w:r>
      <w:r w:rsidR="008815FD">
        <w:rPr>
          <w:i/>
        </w:rPr>
        <w:t xml:space="preserve">L’avenir est toujours plus radieux lorsque les affaires sont bonnes, et </w:t>
      </w:r>
      <w:r w:rsidRPr="008815FD">
        <w:rPr>
          <w:i/>
        </w:rPr>
        <w:t xml:space="preserve">c’est précisément le sentiment avec lequel la plupart des exposants et visiteurs </w:t>
      </w:r>
      <w:r w:rsidR="008815FD">
        <w:rPr>
          <w:i/>
        </w:rPr>
        <w:t>ont quitté les palais de Brussels Expo.</w:t>
      </w:r>
    </w:p>
    <w:p w14:paraId="62BEDE04" w14:textId="77777777" w:rsidR="00DC3E47" w:rsidRDefault="00DC3E47"/>
    <w:p w14:paraId="4F583803" w14:textId="77777777" w:rsidR="008C29EA" w:rsidRDefault="00DC3E47">
      <w:r>
        <w:t xml:space="preserve">Le Salon du Meuble de Bruxelles sait mieux que quiconque comment métamorphoser les </w:t>
      </w:r>
      <w:r w:rsidR="008815FD">
        <w:t xml:space="preserve">imposants mais quelque peu poussiéreux palais du </w:t>
      </w:r>
      <w:proofErr w:type="spellStart"/>
      <w:r w:rsidR="008815FD">
        <w:t>Heizel</w:t>
      </w:r>
      <w:proofErr w:type="spellEnd"/>
      <w:r>
        <w:t xml:space="preserve"> en véritable temple du meuble. Aussitôt leur </w:t>
      </w:r>
      <w:r w:rsidR="008815FD">
        <w:t>billet scanné</w:t>
      </w:r>
      <w:r w:rsidR="00CD3D96">
        <w:t xml:space="preserve">, les visiteurs </w:t>
      </w:r>
      <w:r w:rsidR="00D13954">
        <w:t>se trouvent</w:t>
      </w:r>
      <w:r w:rsidR="008815FD">
        <w:t xml:space="preserve"> plong</w:t>
      </w:r>
      <w:r w:rsidR="00D13954">
        <w:t>és</w:t>
      </w:r>
      <w:r w:rsidR="00CD3D96">
        <w:t xml:space="preserve"> dans une bulle, isolés du monde extérieur. Une transition qui cette année</w:t>
      </w:r>
      <w:r w:rsidR="00D13954">
        <w:t xml:space="preserve"> a pris</w:t>
      </w:r>
      <w:r w:rsidR="00CD3D96">
        <w:t xml:space="preserve"> une dimension très concrète, avec l’aménagement bluffant de la zone</w:t>
      </w:r>
      <w:r w:rsidR="00D13954">
        <w:t xml:space="preserve"> d’accueil</w:t>
      </w:r>
      <w:r w:rsidR="00CD3D96">
        <w:t xml:space="preserve"> et du bar d’</w:t>
      </w:r>
      <w:r w:rsidR="00D13954">
        <w:t>entrée</w:t>
      </w:r>
      <w:r w:rsidR="00CD3D96">
        <w:t xml:space="preserve"> sur le thème de la campagne « Bubble Up </w:t>
      </w:r>
      <w:proofErr w:type="spellStart"/>
      <w:r w:rsidR="00CD3D96">
        <w:t>Your</w:t>
      </w:r>
      <w:proofErr w:type="spellEnd"/>
      <w:r w:rsidR="00CD3D96">
        <w:t xml:space="preserve"> Business ». Le ton était donné : les bulles de </w:t>
      </w:r>
      <w:r w:rsidR="00D13954">
        <w:t>confinement</w:t>
      </w:r>
      <w:r w:rsidR="00CD3D96">
        <w:t xml:space="preserve"> ont résolument laissé la place </w:t>
      </w:r>
      <w:r w:rsidR="00D13954">
        <w:t>aux bulles de fête</w:t>
      </w:r>
      <w:r w:rsidR="00CD3D96">
        <w:t xml:space="preserve"> ! </w:t>
      </w:r>
    </w:p>
    <w:p w14:paraId="0669AEE6" w14:textId="77777777" w:rsidR="008C29EA" w:rsidRDefault="008C29EA"/>
    <w:p w14:paraId="1F675EEF" w14:textId="77777777" w:rsidR="00DC3E47" w:rsidRDefault="008C29EA">
      <w:r>
        <w:t xml:space="preserve">De beaux stands, </w:t>
      </w:r>
      <w:r w:rsidR="00FB1C70">
        <w:t>une décoration soignée</w:t>
      </w:r>
      <w:r w:rsidRPr="00D13954">
        <w:rPr>
          <w:color w:val="FF0000"/>
        </w:rPr>
        <w:t xml:space="preserve"> </w:t>
      </w:r>
      <w:r>
        <w:t xml:space="preserve">et de nombreuses nouvelles collections </w:t>
      </w:r>
      <w:r w:rsidR="00D13954">
        <w:t>auront été</w:t>
      </w:r>
      <w:r>
        <w:t xml:space="preserve"> les ingrédients d’une visite largement décrite comme inspirante et empreinte d’originalité et d’élégance. Mais le dur labeur et les investissements des exposants </w:t>
      </w:r>
      <w:r w:rsidR="00D13954">
        <w:t>ont</w:t>
      </w:r>
      <w:r>
        <w:t xml:space="preserve"> surtout</w:t>
      </w:r>
      <w:r w:rsidR="00D13954">
        <w:t xml:space="preserve"> été</w:t>
      </w:r>
      <w:r>
        <w:t xml:space="preserve"> récompensés par des affaires fructueuses. Car </w:t>
      </w:r>
      <w:r w:rsidR="00D13954">
        <w:t>tel reste bien évidemment</w:t>
      </w:r>
      <w:r>
        <w:t xml:space="preserve"> l’élément </w:t>
      </w:r>
      <w:r w:rsidR="004129EA">
        <w:t>clé d’</w:t>
      </w:r>
      <w:r>
        <w:t xml:space="preserve">un salon. Et si la plupart des fabricants </w:t>
      </w:r>
      <w:r w:rsidR="004129EA">
        <w:t>reconnaissent avoir enregistré moins de commandes que lors de l’édition post-</w:t>
      </w:r>
      <w:r w:rsidR="00D13954">
        <w:t>Covid</w:t>
      </w:r>
      <w:r w:rsidR="004129EA">
        <w:t>, les résultats ont malgré tout largement dépassé les attentes.</w:t>
      </w:r>
    </w:p>
    <w:p w14:paraId="5BB1C533" w14:textId="77777777" w:rsidR="004129EA" w:rsidRDefault="004129EA"/>
    <w:p w14:paraId="4DE70F37" w14:textId="77777777" w:rsidR="004129EA" w:rsidRDefault="004129EA">
      <w:r>
        <w:t>Même son de cloche au</w:t>
      </w:r>
      <w:r w:rsidR="00D13954">
        <w:t xml:space="preserve"> sein du</w:t>
      </w:r>
      <w:r>
        <w:t xml:space="preserve"> palais 6, qui rassemble traditionnellement l’essentiel des exposants du secteur du sommeil. Un bilan encourageant pour les exposants, et pour l’organisation qui se voit renforcé</w:t>
      </w:r>
      <w:r w:rsidR="00FB1C70">
        <w:t>e</w:t>
      </w:r>
      <w:r>
        <w:t xml:space="preserve"> dans sa conviction que Bruxelles peut</w:t>
      </w:r>
      <w:r w:rsidR="00FB1C70">
        <w:t>,</w:t>
      </w:r>
      <w:r>
        <w:t xml:space="preserve"> dans un avenir proche</w:t>
      </w:r>
      <w:r w:rsidR="00FB1C70">
        <w:t>,</w:t>
      </w:r>
      <w:r>
        <w:t xml:space="preserve"> aussi jouer</w:t>
      </w:r>
      <w:r w:rsidR="00FB1C70">
        <w:t xml:space="preserve"> à nouveau</w:t>
      </w:r>
      <w:r>
        <w:t xml:space="preserve"> un rôle déterminant pour le segment du sommeil.</w:t>
      </w:r>
    </w:p>
    <w:p w14:paraId="343F9B14" w14:textId="77777777" w:rsidR="004129EA" w:rsidRDefault="004129EA"/>
    <w:p w14:paraId="072D2FE7" w14:textId="46B565F1" w:rsidR="004129EA" w:rsidRDefault="004129EA">
      <w:r>
        <w:t xml:space="preserve">Car comme déjà souligné à </w:t>
      </w:r>
      <w:r w:rsidR="00D13954">
        <w:t>plusieurs</w:t>
      </w:r>
      <w:r>
        <w:t xml:space="preserve"> reprises, le Salon du Meuble de Bruxelles aspire à devenir un point de rencontre pour tous les acteurs </w:t>
      </w:r>
      <w:r w:rsidR="00D13954">
        <w:t>du</w:t>
      </w:r>
      <w:r>
        <w:t xml:space="preserve"> marché du meuble. Nous remarquons ainsi une </w:t>
      </w:r>
      <w:r w:rsidR="0004733C">
        <w:t xml:space="preserve">augmentation des exposants </w:t>
      </w:r>
      <w:r w:rsidR="00D13954">
        <w:t>arbor</w:t>
      </w:r>
      <w:r w:rsidR="00FB1C70">
        <w:t>a</w:t>
      </w:r>
      <w:r w:rsidR="00D13954">
        <w:t>nt le</w:t>
      </w:r>
      <w:r w:rsidR="0004733C">
        <w:t xml:space="preserve"> signe distinctif du marché contractuel, tandis que le nombre de visiteurs actifs dans ce segment est également en (légère) hausse. La branche contractuelle est un segment d’avenir, qui mérite certainement sa place à Bruxelles. À suivre, donc, tout comme « Bubble Up </w:t>
      </w:r>
      <w:proofErr w:type="spellStart"/>
      <w:r w:rsidR="0004733C">
        <w:t>Your</w:t>
      </w:r>
      <w:proofErr w:type="spellEnd"/>
      <w:r w:rsidR="0004733C">
        <w:t xml:space="preserve"> Store », la nouvelle plateforme réservée aux exposants proposant des solutions pour le magasin de meuble de demain. Un peu plus loin, dans le palais 3, les projecteurs étaient tournés sur le design pur, illustré par les réalisations créatives et inspirantes de jeunes créateurs et designers avertis. Leur histoire sera mise en lumière sur le blog du Salon du Meuble (</w:t>
      </w:r>
      <w:r w:rsidR="000551EC" w:rsidRPr="000551EC">
        <w:t>blog.salondumeuble.be</w:t>
      </w:r>
      <w:r w:rsidR="0004733C">
        <w:t>) dès le mois de décembre 2022.</w:t>
      </w:r>
    </w:p>
    <w:p w14:paraId="6B935807" w14:textId="77777777" w:rsidR="0004733C" w:rsidRPr="00FB1C70" w:rsidRDefault="0004733C"/>
    <w:p w14:paraId="0EA4FDB5" w14:textId="77777777" w:rsidR="0004733C" w:rsidRPr="00FB1C70" w:rsidRDefault="0004733C">
      <w:r w:rsidRPr="00FB1C70">
        <w:t xml:space="preserve">À propos de projecteurs, c’est sous leurs feux que </w:t>
      </w:r>
      <w:proofErr w:type="spellStart"/>
      <w:r w:rsidRPr="00FB1C70">
        <w:t>Boukje</w:t>
      </w:r>
      <w:proofErr w:type="spellEnd"/>
      <w:r w:rsidRPr="00FB1C70">
        <w:t xml:space="preserve"> </w:t>
      </w:r>
      <w:proofErr w:type="spellStart"/>
      <w:r w:rsidRPr="00FB1C70">
        <w:t>Adriaensen</w:t>
      </w:r>
      <w:proofErr w:type="spellEnd"/>
      <w:r w:rsidRPr="00FB1C70">
        <w:t xml:space="preserve"> </w:t>
      </w:r>
      <w:r w:rsidR="00FB1C70" w:rsidRPr="00FB1C70">
        <w:t>s’est vu décern</w:t>
      </w:r>
      <w:r w:rsidR="005216E1">
        <w:t>er</w:t>
      </w:r>
      <w:r w:rsidR="009D33D0" w:rsidRPr="00FB1C70">
        <w:t xml:space="preserve">, en ouverture de la cérémonie des Balthazar Awards mardi soir, </w:t>
      </w:r>
      <w:r w:rsidR="00FB1C70" w:rsidRPr="00FB1C70">
        <w:t>le</w:t>
      </w:r>
      <w:r w:rsidR="009D33D0" w:rsidRPr="00FB1C70">
        <w:t xml:space="preserve"> titre de « Best of Design Street – Design </w:t>
      </w:r>
      <w:proofErr w:type="spellStart"/>
      <w:r w:rsidR="009D33D0" w:rsidRPr="00FB1C70">
        <w:t>Academy</w:t>
      </w:r>
      <w:proofErr w:type="spellEnd"/>
      <w:r w:rsidR="009D33D0" w:rsidRPr="00FB1C70">
        <w:t> ».</w:t>
      </w:r>
    </w:p>
    <w:p w14:paraId="6AA5B14A" w14:textId="5717E08C" w:rsidR="009D33D0" w:rsidRPr="00906436" w:rsidRDefault="009D33D0">
      <w:pPr>
        <w:rPr>
          <w:rFonts w:cstheme="minorHAnsi"/>
          <w:iCs/>
        </w:rPr>
      </w:pPr>
      <w:r w:rsidRPr="009D33D0">
        <w:lastRenderedPageBreak/>
        <w:t xml:space="preserve">Par la suite, </w:t>
      </w:r>
      <w:proofErr w:type="spellStart"/>
      <w:r w:rsidRPr="009D33D0">
        <w:t>Mobitec</w:t>
      </w:r>
      <w:proofErr w:type="spellEnd"/>
      <w:r w:rsidRPr="009D33D0">
        <w:t xml:space="preserve"> (Best of </w:t>
      </w:r>
      <w:proofErr w:type="spellStart"/>
      <w:r w:rsidRPr="009D33D0">
        <w:t>Belgium</w:t>
      </w:r>
      <w:proofErr w:type="spellEnd"/>
      <w:r w:rsidRPr="009D33D0">
        <w:t xml:space="preserve">), </w:t>
      </w:r>
      <w:proofErr w:type="spellStart"/>
      <w:r w:rsidRPr="009D33D0">
        <w:t>Kler</w:t>
      </w:r>
      <w:proofErr w:type="spellEnd"/>
      <w:r w:rsidRPr="009D33D0">
        <w:t xml:space="preserve"> (Best international), The </w:t>
      </w:r>
      <w:proofErr w:type="spellStart"/>
      <w:r w:rsidRPr="009D33D0">
        <w:t>Beds</w:t>
      </w:r>
      <w:proofErr w:type="spellEnd"/>
      <w:r w:rsidRPr="009D33D0">
        <w:t xml:space="preserve"> (Love at first </w:t>
      </w:r>
      <w:proofErr w:type="spellStart"/>
      <w:r w:rsidRPr="009D33D0">
        <w:t>sight</w:t>
      </w:r>
      <w:proofErr w:type="spellEnd"/>
      <w:r w:rsidRPr="009D33D0">
        <w:t xml:space="preserve">) et </w:t>
      </w:r>
      <w:proofErr w:type="spellStart"/>
      <w:r w:rsidRPr="009D33D0">
        <w:t>Sofar</w:t>
      </w:r>
      <w:proofErr w:type="spellEnd"/>
      <w:r w:rsidRPr="009D33D0">
        <w:t xml:space="preserve"> </w:t>
      </w:r>
      <w:r>
        <w:t>(Best innovation) ont chacun été récompensé</w:t>
      </w:r>
      <w:r w:rsidR="005216E1">
        <w:t>s</w:t>
      </w:r>
      <w:r>
        <w:t xml:space="preserve"> d’un </w:t>
      </w:r>
      <w:r w:rsidR="00FB1C70">
        <w:t>Balthazar</w:t>
      </w:r>
      <w:r>
        <w:t xml:space="preserve"> bien mérité, en particulier au vu du nombre sans précédent de produits inscrits (110). Les Balthazar Awards 2022 ont donc plus que </w:t>
      </w:r>
      <w:r w:rsidRPr="00FB1C70">
        <w:rPr>
          <w:rFonts w:cstheme="minorHAnsi"/>
        </w:rPr>
        <w:t xml:space="preserve">jamais symbolisé la </w:t>
      </w:r>
      <w:r w:rsidRPr="00906436">
        <w:rPr>
          <w:rFonts w:cstheme="minorHAnsi"/>
        </w:rPr>
        <w:t xml:space="preserve">ténacité et la passion qui animent notre secteur. Vous en retrouverez tous les détails sur notre blog </w:t>
      </w:r>
      <w:r w:rsidRPr="00906436">
        <w:rPr>
          <w:rFonts w:cstheme="minorHAnsi"/>
          <w:iCs/>
        </w:rPr>
        <w:t>(</w:t>
      </w:r>
      <w:r w:rsidR="00906436" w:rsidRPr="00906436">
        <w:rPr>
          <w:rFonts w:cstheme="minorHAnsi"/>
          <w:iCs/>
        </w:rPr>
        <w:t>blog.salondumeuble.be/2022/11/09/</w:t>
      </w:r>
      <w:proofErr w:type="spellStart"/>
      <w:r w:rsidR="00906436" w:rsidRPr="00906436">
        <w:rPr>
          <w:rFonts w:cstheme="minorHAnsi"/>
          <w:iCs/>
        </w:rPr>
        <w:t>meubelbeurs-brussel</w:t>
      </w:r>
      <w:proofErr w:type="spellEnd"/>
      <w:r w:rsidR="00906436" w:rsidRPr="00906436">
        <w:rPr>
          <w:rFonts w:cstheme="minorHAnsi"/>
          <w:iCs/>
        </w:rPr>
        <w:t>/</w:t>
      </w:r>
      <w:r w:rsidRPr="00906436">
        <w:rPr>
          <w:rFonts w:cstheme="minorHAnsi"/>
          <w:iCs/>
        </w:rPr>
        <w:t>).</w:t>
      </w:r>
    </w:p>
    <w:p w14:paraId="718F47FC" w14:textId="77777777" w:rsidR="009D33D0" w:rsidRPr="00906436" w:rsidRDefault="009D33D0">
      <w:pPr>
        <w:rPr>
          <w:rFonts w:cstheme="minorHAnsi"/>
          <w:iCs/>
        </w:rPr>
      </w:pPr>
    </w:p>
    <w:p w14:paraId="20C9822A" w14:textId="77777777" w:rsidR="009D33D0" w:rsidRDefault="009D33D0">
      <w:r w:rsidRPr="00906436">
        <w:t>Une détermination et un positivisme communicatifs auxquels le Salon du Meuble de Bruxelles doit son atmosphère chaleureuse, festive et propice</w:t>
      </w:r>
      <w:r>
        <w:t xml:space="preserve"> aux affaires. C’est </w:t>
      </w:r>
      <w:r w:rsidR="00FB1C70">
        <w:t>donc pleins de reconnaissance que nous clôturons cette édition, et plein</w:t>
      </w:r>
      <w:r w:rsidR="005216E1">
        <w:t xml:space="preserve">s </w:t>
      </w:r>
      <w:r w:rsidR="00FB1C70">
        <w:t>d’entrain que nous abordons ce qui va suivre !</w:t>
      </w:r>
    </w:p>
    <w:p w14:paraId="6D934339" w14:textId="77777777" w:rsidR="00F633FF" w:rsidRDefault="00F633FF"/>
    <w:p w14:paraId="4586C3DD" w14:textId="77777777" w:rsidR="00F633FF" w:rsidRPr="00FA7594" w:rsidRDefault="00F633FF" w:rsidP="00F633FF">
      <w:pPr>
        <w:jc w:val="both"/>
        <w:rPr>
          <w:rFonts w:cstheme="minorHAnsi"/>
          <w:iCs/>
          <w:sz w:val="24"/>
          <w:szCs w:val="24"/>
        </w:rPr>
      </w:pPr>
      <w:r w:rsidRPr="00FA7594">
        <w:rPr>
          <w:rFonts w:cstheme="minorHAnsi"/>
          <w:iCs/>
          <w:sz w:val="24"/>
          <w:szCs w:val="24"/>
        </w:rPr>
        <w:t>Glenn De Maeseneer</w:t>
      </w:r>
    </w:p>
    <w:p w14:paraId="5E14CD53" w14:textId="77777777" w:rsidR="00F633FF" w:rsidRPr="00FA7594" w:rsidRDefault="00F633FF" w:rsidP="00F633FF">
      <w:pPr>
        <w:jc w:val="both"/>
        <w:rPr>
          <w:rFonts w:cstheme="minorHAnsi"/>
          <w:sz w:val="24"/>
          <w:szCs w:val="24"/>
        </w:rPr>
      </w:pPr>
      <w:r w:rsidRPr="00FA7594">
        <w:rPr>
          <w:rFonts w:cstheme="minorHAnsi"/>
          <w:sz w:val="24"/>
          <w:szCs w:val="24"/>
        </w:rPr>
        <w:t>Thomas Hibert</w:t>
      </w:r>
    </w:p>
    <w:p w14:paraId="5F15D366" w14:textId="77777777" w:rsidR="00F633FF" w:rsidRPr="00FA7594" w:rsidRDefault="00F633FF" w:rsidP="00F633FF">
      <w:pPr>
        <w:jc w:val="both"/>
        <w:rPr>
          <w:rFonts w:cstheme="minorHAnsi"/>
          <w:sz w:val="24"/>
          <w:szCs w:val="24"/>
        </w:rPr>
      </w:pPr>
      <w:r w:rsidRPr="00FA7594">
        <w:rPr>
          <w:rFonts w:cstheme="minorHAnsi"/>
          <w:sz w:val="24"/>
          <w:szCs w:val="24"/>
        </w:rPr>
        <w:t>Salon du Meuble de Bruxelles</w:t>
      </w:r>
    </w:p>
    <w:p w14:paraId="635BDF9F" w14:textId="77777777" w:rsidR="00F633FF" w:rsidRPr="00FA7594" w:rsidRDefault="00F633FF" w:rsidP="00F633FF">
      <w:pPr>
        <w:jc w:val="both"/>
        <w:rPr>
          <w:rFonts w:cstheme="minorHAnsi"/>
          <w:sz w:val="24"/>
          <w:szCs w:val="24"/>
        </w:rPr>
      </w:pPr>
    </w:p>
    <w:p w14:paraId="569EC25C" w14:textId="77777777" w:rsidR="00F633FF" w:rsidRPr="00FA7594" w:rsidRDefault="00F633FF" w:rsidP="00F633FF">
      <w:pPr>
        <w:jc w:val="both"/>
        <w:rPr>
          <w:rFonts w:cstheme="minorHAnsi"/>
          <w:b/>
          <w:sz w:val="24"/>
          <w:szCs w:val="24"/>
        </w:rPr>
      </w:pPr>
    </w:p>
    <w:p w14:paraId="239316F8" w14:textId="77777777" w:rsidR="00F633FF" w:rsidRPr="00FB1C70" w:rsidRDefault="00F633FF" w:rsidP="00F633FF">
      <w:pPr>
        <w:jc w:val="both"/>
        <w:rPr>
          <w:rFonts w:cstheme="minorHAnsi"/>
          <w:b/>
          <w:sz w:val="24"/>
          <w:szCs w:val="24"/>
        </w:rPr>
      </w:pPr>
      <w:r w:rsidRPr="00FB1C70">
        <w:rPr>
          <w:rFonts w:cstheme="minorHAnsi"/>
          <w:b/>
          <w:sz w:val="24"/>
          <w:szCs w:val="24"/>
        </w:rPr>
        <w:t>Rendez-vous l’année prochaine !</w:t>
      </w:r>
    </w:p>
    <w:p w14:paraId="5CE4EFE0" w14:textId="77777777" w:rsidR="00F633FF" w:rsidRPr="00FB1C70" w:rsidRDefault="00F633FF" w:rsidP="00F633FF">
      <w:pPr>
        <w:jc w:val="both"/>
        <w:rPr>
          <w:rFonts w:cstheme="minorHAnsi"/>
          <w:b/>
          <w:sz w:val="24"/>
          <w:szCs w:val="24"/>
        </w:rPr>
      </w:pPr>
      <w:r w:rsidRPr="00FB1C70">
        <w:rPr>
          <w:rFonts w:cstheme="minorHAnsi"/>
          <w:b/>
          <w:sz w:val="24"/>
          <w:szCs w:val="24"/>
        </w:rPr>
        <w:t>Salon du Meuble 2023 : 5-8 novembre</w:t>
      </w:r>
    </w:p>
    <w:p w14:paraId="4754E0BB" w14:textId="77777777" w:rsidR="00AC439B" w:rsidRDefault="00AC439B" w:rsidP="00F633FF">
      <w:pPr>
        <w:jc w:val="both"/>
        <w:rPr>
          <w:rFonts w:cstheme="minorHAnsi"/>
          <w:sz w:val="24"/>
          <w:szCs w:val="24"/>
        </w:rPr>
      </w:pPr>
    </w:p>
    <w:p w14:paraId="2417D4E1" w14:textId="7702F3EE" w:rsidR="00F633FF" w:rsidRPr="0063227D" w:rsidRDefault="005A3D23" w:rsidP="00F633FF">
      <w:pPr>
        <w:jc w:val="both"/>
        <w:rPr>
          <w:rFonts w:cstheme="minorHAnsi"/>
          <w:sz w:val="24"/>
          <w:szCs w:val="24"/>
        </w:rPr>
      </w:pPr>
      <w:hyperlink r:id="rId10" w:history="1">
        <w:r w:rsidR="00906436" w:rsidRPr="0063227D">
          <w:rPr>
            <w:rStyle w:val="Hyperlink"/>
            <w:rFonts w:cstheme="minorHAnsi"/>
            <w:sz w:val="24"/>
            <w:szCs w:val="24"/>
          </w:rPr>
          <w:t>salondume</w:t>
        </w:r>
        <w:r w:rsidR="00906436" w:rsidRPr="0063227D">
          <w:rPr>
            <w:rStyle w:val="Hyperlink"/>
            <w:rFonts w:cstheme="minorHAnsi"/>
            <w:sz w:val="24"/>
            <w:szCs w:val="24"/>
          </w:rPr>
          <w:t>u</w:t>
        </w:r>
        <w:r w:rsidR="00906436" w:rsidRPr="0063227D">
          <w:rPr>
            <w:rStyle w:val="Hyperlink"/>
            <w:rFonts w:cstheme="minorHAnsi"/>
            <w:sz w:val="24"/>
            <w:szCs w:val="24"/>
          </w:rPr>
          <w:t>ble</w:t>
        </w:r>
        <w:r w:rsidR="00F633FF" w:rsidRPr="0063227D">
          <w:rPr>
            <w:rStyle w:val="Hyperlink"/>
            <w:rFonts w:cstheme="minorHAnsi"/>
            <w:sz w:val="24"/>
            <w:szCs w:val="24"/>
          </w:rPr>
          <w:t>.be</w:t>
        </w:r>
      </w:hyperlink>
    </w:p>
    <w:p w14:paraId="414E7C67" w14:textId="77777777" w:rsidR="00F633FF" w:rsidRPr="0063227D" w:rsidRDefault="00F633FF" w:rsidP="00F633FF">
      <w:pPr>
        <w:jc w:val="both"/>
        <w:rPr>
          <w:rFonts w:cstheme="minorHAnsi"/>
          <w:sz w:val="24"/>
          <w:szCs w:val="24"/>
        </w:rPr>
      </w:pPr>
    </w:p>
    <w:p w14:paraId="7B074BE3" w14:textId="77777777" w:rsidR="00F633FF" w:rsidRPr="0063227D" w:rsidRDefault="00F633FF" w:rsidP="00F633FF">
      <w:pPr>
        <w:jc w:val="both"/>
        <w:rPr>
          <w:rFonts w:cstheme="minorHAnsi"/>
          <w:sz w:val="24"/>
          <w:szCs w:val="24"/>
        </w:rPr>
      </w:pPr>
      <w:r w:rsidRPr="0063227D">
        <w:rPr>
          <w:rFonts w:cstheme="minorHAnsi"/>
          <w:sz w:val="24"/>
          <w:szCs w:val="24"/>
        </w:rPr>
        <w:t>Facebook</w:t>
      </w:r>
      <w:r w:rsidR="005216E1" w:rsidRPr="0063227D">
        <w:rPr>
          <w:rFonts w:cstheme="minorHAnsi"/>
          <w:sz w:val="24"/>
          <w:szCs w:val="24"/>
        </w:rPr>
        <w:t xml:space="preserve"> :</w:t>
      </w:r>
      <w:r w:rsidRPr="0063227D">
        <w:rPr>
          <w:rFonts w:cstheme="minorHAnsi"/>
          <w:sz w:val="24"/>
          <w:szCs w:val="24"/>
        </w:rPr>
        <w:t xml:space="preserve"> </w:t>
      </w:r>
      <w:hyperlink r:id="rId11" w:history="1">
        <w:r w:rsidRPr="0063227D">
          <w:rPr>
            <w:rStyle w:val="Hyperlink"/>
            <w:rFonts w:cstheme="minorHAnsi"/>
            <w:sz w:val="24"/>
            <w:szCs w:val="24"/>
          </w:rPr>
          <w:t>www.facebook.com/Meubelbeurs/</w:t>
        </w:r>
      </w:hyperlink>
      <w:r w:rsidRPr="0063227D">
        <w:rPr>
          <w:rFonts w:cstheme="minorHAnsi"/>
          <w:sz w:val="24"/>
          <w:szCs w:val="24"/>
        </w:rPr>
        <w:t xml:space="preserve"> </w:t>
      </w:r>
    </w:p>
    <w:p w14:paraId="61F746D0" w14:textId="77777777" w:rsidR="00F633FF" w:rsidRPr="00FA7594" w:rsidRDefault="00F633FF" w:rsidP="00F633FF">
      <w:pPr>
        <w:jc w:val="both"/>
        <w:rPr>
          <w:rFonts w:cstheme="minorHAnsi"/>
          <w:sz w:val="24"/>
          <w:szCs w:val="24"/>
        </w:rPr>
      </w:pPr>
      <w:r w:rsidRPr="0063227D">
        <w:rPr>
          <w:rFonts w:cstheme="minorHAnsi"/>
          <w:sz w:val="24"/>
          <w:szCs w:val="24"/>
        </w:rPr>
        <w:t>Instagram</w:t>
      </w:r>
      <w:r w:rsidR="005216E1" w:rsidRPr="0063227D">
        <w:rPr>
          <w:rFonts w:cstheme="minorHAnsi"/>
          <w:sz w:val="24"/>
          <w:szCs w:val="24"/>
        </w:rPr>
        <w:t xml:space="preserve"> </w:t>
      </w:r>
      <w:r w:rsidRPr="0063227D">
        <w:rPr>
          <w:rFonts w:cstheme="minorHAnsi"/>
          <w:sz w:val="24"/>
          <w:szCs w:val="24"/>
        </w:rPr>
        <w:t xml:space="preserve">: </w:t>
      </w:r>
      <w:hyperlink r:id="rId12" w:history="1">
        <w:r w:rsidRPr="0063227D">
          <w:rPr>
            <w:rStyle w:val="Hyperlink"/>
            <w:rFonts w:cstheme="minorHAnsi"/>
            <w:sz w:val="24"/>
            <w:szCs w:val="24"/>
          </w:rPr>
          <w:t>www.instagram.com/meubelbeursbrussel/</w:t>
        </w:r>
      </w:hyperlink>
      <w:r w:rsidRPr="00FA7594">
        <w:rPr>
          <w:rFonts w:cstheme="minorHAnsi"/>
          <w:sz w:val="24"/>
          <w:szCs w:val="24"/>
        </w:rPr>
        <w:t xml:space="preserve"> </w:t>
      </w:r>
    </w:p>
    <w:p w14:paraId="6664836F" w14:textId="77777777" w:rsidR="00F633FF" w:rsidRPr="00FA7594" w:rsidRDefault="00F633FF" w:rsidP="00F633FF">
      <w:pPr>
        <w:jc w:val="both"/>
        <w:rPr>
          <w:rFonts w:cstheme="minorHAnsi"/>
          <w:iCs/>
          <w:sz w:val="24"/>
          <w:szCs w:val="24"/>
        </w:rPr>
      </w:pPr>
    </w:p>
    <w:p w14:paraId="39132C6A" w14:textId="77777777" w:rsidR="00F633FF" w:rsidRPr="00FA7594" w:rsidRDefault="00F633FF" w:rsidP="00F633FF">
      <w:pPr>
        <w:jc w:val="both"/>
        <w:rPr>
          <w:rFonts w:cstheme="minorHAnsi"/>
          <w:i/>
          <w:sz w:val="24"/>
          <w:szCs w:val="24"/>
        </w:rPr>
      </w:pPr>
    </w:p>
    <w:p w14:paraId="2F9BB859" w14:textId="77777777" w:rsidR="00F633FF" w:rsidRPr="00FB1C70" w:rsidRDefault="005216E1" w:rsidP="00F633FF">
      <w:pPr>
        <w:jc w:val="both"/>
        <w:rPr>
          <w:rFonts w:cstheme="minorHAnsi"/>
        </w:rPr>
      </w:pPr>
      <w:r>
        <w:rPr>
          <w:rFonts w:cstheme="minorHAnsi"/>
          <w:iCs/>
          <w:sz w:val="24"/>
          <w:szCs w:val="24"/>
        </w:rPr>
        <w:t>Bilan des visiteurs</w:t>
      </w:r>
    </w:p>
    <w:p w14:paraId="03FC0002" w14:textId="77777777" w:rsidR="00F633FF" w:rsidRPr="00FB1C70" w:rsidRDefault="00F633FF" w:rsidP="00F633FF">
      <w:pPr>
        <w:rPr>
          <w:rFonts w:eastAsia="Times New Roman" w:cstheme="minorHAnsi"/>
          <w:szCs w:val="24"/>
          <w:lang w:eastAsia="nl-NL"/>
        </w:rPr>
      </w:pPr>
    </w:p>
    <w:tbl>
      <w:tblPr>
        <w:tblW w:w="7560" w:type="dxa"/>
        <w:shd w:val="clear" w:color="auto" w:fill="FFFFFF"/>
        <w:tblCellMar>
          <w:left w:w="0" w:type="dxa"/>
          <w:right w:w="0" w:type="dxa"/>
        </w:tblCellMar>
        <w:tblLook w:val="04A0" w:firstRow="1" w:lastRow="0" w:firstColumn="1" w:lastColumn="0" w:noHBand="0" w:noVBand="1"/>
      </w:tblPr>
      <w:tblGrid>
        <w:gridCol w:w="1220"/>
        <w:gridCol w:w="960"/>
        <w:gridCol w:w="960"/>
        <w:gridCol w:w="1060"/>
        <w:gridCol w:w="1120"/>
        <w:gridCol w:w="1120"/>
        <w:gridCol w:w="1120"/>
      </w:tblGrid>
      <w:tr w:rsidR="00F633FF" w:rsidRPr="00FB1C70" w14:paraId="622F3022" w14:textId="77777777" w:rsidTr="001F615E">
        <w:trPr>
          <w:trHeight w:val="300"/>
        </w:trPr>
        <w:tc>
          <w:tcPr>
            <w:tcW w:w="1220" w:type="dxa"/>
            <w:shd w:val="clear" w:color="auto" w:fill="FFFFFF"/>
            <w:tcMar>
              <w:top w:w="0" w:type="dxa"/>
              <w:left w:w="70" w:type="dxa"/>
              <w:bottom w:w="0" w:type="dxa"/>
              <w:right w:w="70" w:type="dxa"/>
            </w:tcMar>
            <w:vAlign w:val="bottom"/>
            <w:hideMark/>
          </w:tcPr>
          <w:p w14:paraId="7598FFC0" w14:textId="77777777" w:rsidR="00F633FF" w:rsidRPr="00FB1C70" w:rsidRDefault="00F633FF" w:rsidP="001F615E">
            <w:pPr>
              <w:rPr>
                <w:rFonts w:eastAsia="Times New Roman" w:cstheme="minorHAnsi"/>
                <w:szCs w:val="24"/>
                <w:lang w:eastAsia="nl-NL"/>
              </w:rPr>
            </w:pPr>
          </w:p>
        </w:tc>
        <w:tc>
          <w:tcPr>
            <w:tcW w:w="960" w:type="dxa"/>
            <w:shd w:val="clear" w:color="auto" w:fill="FFFFFF"/>
            <w:tcMar>
              <w:top w:w="0" w:type="dxa"/>
              <w:left w:w="70" w:type="dxa"/>
              <w:bottom w:w="0" w:type="dxa"/>
              <w:right w:w="70" w:type="dxa"/>
            </w:tcMar>
            <w:vAlign w:val="bottom"/>
            <w:hideMark/>
          </w:tcPr>
          <w:p w14:paraId="09985D58" w14:textId="77777777" w:rsidR="00F633FF" w:rsidRPr="00FB1C70" w:rsidRDefault="00F633FF" w:rsidP="001F615E">
            <w:pPr>
              <w:jc w:val="center"/>
              <w:rPr>
                <w:rFonts w:eastAsia="Times New Roman" w:cstheme="minorHAnsi"/>
                <w:color w:val="333333"/>
                <w:lang w:eastAsia="nl-NL"/>
              </w:rPr>
            </w:pPr>
            <w:r w:rsidRPr="00FB1C70">
              <w:rPr>
                <w:rFonts w:eastAsia="Times New Roman" w:cstheme="minorHAnsi"/>
                <w:b/>
                <w:bCs/>
                <w:color w:val="000000"/>
                <w:lang w:eastAsia="nl-NL"/>
              </w:rPr>
              <w:t>2021</w:t>
            </w:r>
          </w:p>
        </w:tc>
        <w:tc>
          <w:tcPr>
            <w:tcW w:w="960" w:type="dxa"/>
            <w:shd w:val="clear" w:color="auto" w:fill="FFFFFF"/>
            <w:tcMar>
              <w:top w:w="0" w:type="dxa"/>
              <w:left w:w="70" w:type="dxa"/>
              <w:bottom w:w="0" w:type="dxa"/>
              <w:right w:w="70" w:type="dxa"/>
            </w:tcMar>
            <w:vAlign w:val="bottom"/>
            <w:hideMark/>
          </w:tcPr>
          <w:p w14:paraId="35419E5C" w14:textId="77777777" w:rsidR="00F633FF" w:rsidRPr="00FB1C70" w:rsidRDefault="00F633FF" w:rsidP="001F615E">
            <w:pPr>
              <w:jc w:val="center"/>
              <w:rPr>
                <w:rFonts w:eastAsia="Times New Roman" w:cstheme="minorHAnsi"/>
                <w:color w:val="333333"/>
                <w:lang w:eastAsia="nl-NL"/>
              </w:rPr>
            </w:pPr>
            <w:r w:rsidRPr="00FB1C70">
              <w:rPr>
                <w:rFonts w:eastAsia="Times New Roman" w:cstheme="minorHAnsi"/>
                <w:b/>
                <w:bCs/>
                <w:color w:val="000000"/>
                <w:lang w:eastAsia="nl-NL"/>
              </w:rPr>
              <w:t>2022</w:t>
            </w:r>
          </w:p>
        </w:tc>
        <w:tc>
          <w:tcPr>
            <w:tcW w:w="1060" w:type="dxa"/>
            <w:shd w:val="clear" w:color="auto" w:fill="FFFFFF"/>
            <w:tcMar>
              <w:top w:w="0" w:type="dxa"/>
              <w:left w:w="70" w:type="dxa"/>
              <w:bottom w:w="0" w:type="dxa"/>
              <w:right w:w="70" w:type="dxa"/>
            </w:tcMar>
            <w:vAlign w:val="bottom"/>
            <w:hideMark/>
          </w:tcPr>
          <w:p w14:paraId="3164FB66" w14:textId="77777777" w:rsidR="00F633FF" w:rsidRPr="00FB1C70" w:rsidRDefault="00F633FF" w:rsidP="001F615E">
            <w:pPr>
              <w:jc w:val="center"/>
              <w:rPr>
                <w:rFonts w:eastAsia="Times New Roman" w:cstheme="minorHAnsi"/>
                <w:color w:val="333333"/>
                <w:lang w:eastAsia="nl-NL"/>
              </w:rPr>
            </w:pPr>
            <w:r w:rsidRPr="00FB1C70">
              <w:rPr>
                <w:rFonts w:eastAsia="Times New Roman" w:cstheme="minorHAnsi"/>
                <w:b/>
                <w:bCs/>
                <w:color w:val="000000"/>
                <w:lang w:eastAsia="nl-NL"/>
              </w:rPr>
              <w:t>+/-</w:t>
            </w:r>
          </w:p>
        </w:tc>
        <w:tc>
          <w:tcPr>
            <w:tcW w:w="1120" w:type="dxa"/>
            <w:shd w:val="clear" w:color="auto" w:fill="FFFFFF"/>
            <w:tcMar>
              <w:top w:w="0" w:type="dxa"/>
              <w:left w:w="70" w:type="dxa"/>
              <w:bottom w:w="0" w:type="dxa"/>
              <w:right w:w="70" w:type="dxa"/>
            </w:tcMar>
            <w:vAlign w:val="bottom"/>
            <w:hideMark/>
          </w:tcPr>
          <w:p w14:paraId="0A0D58F1" w14:textId="77777777" w:rsidR="00F633FF" w:rsidRPr="00FB1C70" w:rsidRDefault="00F633FF" w:rsidP="00F633FF">
            <w:pPr>
              <w:jc w:val="center"/>
              <w:rPr>
                <w:rFonts w:eastAsia="Times New Roman" w:cstheme="minorHAnsi"/>
                <w:color w:val="333333"/>
                <w:lang w:eastAsia="nl-NL"/>
              </w:rPr>
            </w:pPr>
            <w:r w:rsidRPr="00FB1C70">
              <w:rPr>
                <w:rFonts w:eastAsia="Times New Roman" w:cstheme="minorHAnsi"/>
                <w:b/>
                <w:bCs/>
                <w:color w:val="000000"/>
                <w:lang w:eastAsia="nl-NL"/>
              </w:rPr>
              <w:t>Hausse en %</w:t>
            </w:r>
          </w:p>
        </w:tc>
        <w:tc>
          <w:tcPr>
            <w:tcW w:w="1120" w:type="dxa"/>
            <w:shd w:val="clear" w:color="auto" w:fill="FFFFFF"/>
            <w:vAlign w:val="bottom"/>
          </w:tcPr>
          <w:p w14:paraId="3D19C3B5" w14:textId="77777777" w:rsidR="00F633FF" w:rsidRPr="00FB1C70" w:rsidRDefault="00F633FF" w:rsidP="00F633FF">
            <w:pPr>
              <w:jc w:val="center"/>
              <w:rPr>
                <w:rFonts w:eastAsia="Times New Roman" w:cstheme="minorHAnsi"/>
                <w:b/>
                <w:bCs/>
                <w:color w:val="000000"/>
                <w:lang w:eastAsia="nl-NL"/>
              </w:rPr>
            </w:pPr>
            <w:r w:rsidRPr="00FB1C70">
              <w:rPr>
                <w:rFonts w:eastAsia="Times New Roman" w:cstheme="minorHAnsi"/>
                <w:b/>
                <w:bCs/>
                <w:color w:val="000000"/>
                <w:lang w:eastAsia="nl-NL"/>
              </w:rPr>
              <w:t>% du total</w:t>
            </w:r>
          </w:p>
        </w:tc>
        <w:tc>
          <w:tcPr>
            <w:tcW w:w="1120" w:type="dxa"/>
            <w:shd w:val="clear" w:color="auto" w:fill="FFFFFF"/>
          </w:tcPr>
          <w:p w14:paraId="2075CC66" w14:textId="77777777" w:rsidR="00F633FF" w:rsidRPr="00FB1C70" w:rsidRDefault="00F633FF" w:rsidP="001F615E">
            <w:pPr>
              <w:jc w:val="center"/>
              <w:rPr>
                <w:rFonts w:eastAsia="Times New Roman" w:cstheme="minorHAnsi"/>
                <w:b/>
                <w:bCs/>
                <w:color w:val="000000"/>
                <w:lang w:eastAsia="nl-NL"/>
              </w:rPr>
            </w:pPr>
          </w:p>
        </w:tc>
      </w:tr>
      <w:tr w:rsidR="00F633FF" w:rsidRPr="00FB1C70" w14:paraId="52391E29" w14:textId="77777777" w:rsidTr="001F615E">
        <w:trPr>
          <w:trHeight w:val="300"/>
        </w:trPr>
        <w:tc>
          <w:tcPr>
            <w:tcW w:w="1220" w:type="dxa"/>
            <w:shd w:val="clear" w:color="auto" w:fill="FFFFFF"/>
            <w:tcMar>
              <w:top w:w="0" w:type="dxa"/>
              <w:left w:w="70" w:type="dxa"/>
              <w:bottom w:w="0" w:type="dxa"/>
              <w:right w:w="70" w:type="dxa"/>
            </w:tcMar>
            <w:vAlign w:val="bottom"/>
            <w:hideMark/>
          </w:tcPr>
          <w:p w14:paraId="47566257" w14:textId="77777777" w:rsidR="00F633FF" w:rsidRPr="00FB1C70" w:rsidRDefault="00F633FF" w:rsidP="001F615E">
            <w:pPr>
              <w:rPr>
                <w:rFonts w:eastAsia="Times New Roman" w:cstheme="minorHAnsi"/>
                <w:color w:val="333333"/>
                <w:lang w:eastAsia="nl-NL"/>
              </w:rPr>
            </w:pPr>
            <w:r w:rsidRPr="00FB1C70">
              <w:rPr>
                <w:rFonts w:eastAsia="Times New Roman" w:cstheme="minorHAnsi"/>
                <w:b/>
                <w:bCs/>
                <w:color w:val="000000"/>
                <w:lang w:eastAsia="nl-NL"/>
              </w:rPr>
              <w:t>BE/LUX</w:t>
            </w:r>
          </w:p>
        </w:tc>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58078336"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000000"/>
                <w:lang w:eastAsia="nl-NL"/>
              </w:rPr>
              <w:t>6323</w:t>
            </w:r>
          </w:p>
        </w:tc>
        <w:tc>
          <w:tcPr>
            <w:tcW w:w="9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3341A621"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000000"/>
                <w:lang w:eastAsia="nl-NL"/>
              </w:rPr>
              <w:t>6474</w:t>
            </w:r>
          </w:p>
        </w:tc>
        <w:tc>
          <w:tcPr>
            <w:tcW w:w="10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788F0EF6"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000000"/>
                <w:lang w:eastAsia="nl-NL"/>
              </w:rPr>
              <w:t>151</w:t>
            </w:r>
          </w:p>
        </w:tc>
        <w:tc>
          <w:tcPr>
            <w:tcW w:w="112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tcPr>
          <w:p w14:paraId="233DDE71"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333333"/>
                <w:lang w:eastAsia="nl-NL"/>
              </w:rPr>
              <w:t>+2,4</w:t>
            </w:r>
          </w:p>
        </w:tc>
        <w:tc>
          <w:tcPr>
            <w:tcW w:w="1120" w:type="dxa"/>
            <w:tcBorders>
              <w:top w:val="single" w:sz="8" w:space="0" w:color="auto"/>
              <w:left w:val="nil"/>
              <w:bottom w:val="single" w:sz="8" w:space="0" w:color="auto"/>
              <w:right w:val="nil"/>
            </w:tcBorders>
            <w:shd w:val="clear" w:color="auto" w:fill="FFFFFF"/>
            <w:vAlign w:val="bottom"/>
          </w:tcPr>
          <w:p w14:paraId="178B5E42" w14:textId="77777777" w:rsidR="00F633FF" w:rsidRPr="00FB1C70" w:rsidRDefault="00F633FF" w:rsidP="001F615E">
            <w:pPr>
              <w:jc w:val="right"/>
              <w:rPr>
                <w:rFonts w:eastAsia="Times New Roman" w:cstheme="minorHAnsi"/>
                <w:color w:val="000000"/>
                <w:lang w:eastAsia="nl-NL"/>
              </w:rPr>
            </w:pPr>
            <w:r w:rsidRPr="00FB1C70">
              <w:rPr>
                <w:rFonts w:eastAsia="Times New Roman" w:cstheme="minorHAnsi"/>
                <w:color w:val="000000"/>
                <w:lang w:eastAsia="nl-NL"/>
              </w:rPr>
              <w:t>40,03%</w:t>
            </w:r>
          </w:p>
        </w:tc>
        <w:tc>
          <w:tcPr>
            <w:tcW w:w="1120" w:type="dxa"/>
            <w:tcBorders>
              <w:top w:val="single" w:sz="8" w:space="0" w:color="auto"/>
              <w:left w:val="nil"/>
              <w:bottom w:val="single" w:sz="8" w:space="0" w:color="auto"/>
              <w:right w:val="single" w:sz="8" w:space="0" w:color="auto"/>
            </w:tcBorders>
            <w:shd w:val="clear" w:color="auto" w:fill="FFFFFF"/>
          </w:tcPr>
          <w:p w14:paraId="58ABCF36" w14:textId="77777777" w:rsidR="00F633FF" w:rsidRPr="00FB1C70" w:rsidRDefault="00F633FF" w:rsidP="001F615E">
            <w:pPr>
              <w:jc w:val="right"/>
              <w:rPr>
                <w:rFonts w:eastAsia="Times New Roman" w:cstheme="minorHAnsi"/>
                <w:color w:val="000000"/>
                <w:lang w:eastAsia="nl-NL"/>
              </w:rPr>
            </w:pPr>
          </w:p>
        </w:tc>
      </w:tr>
      <w:tr w:rsidR="00F633FF" w:rsidRPr="00FB1C70" w14:paraId="7C5545F7" w14:textId="77777777" w:rsidTr="001F615E">
        <w:trPr>
          <w:trHeight w:val="300"/>
        </w:trPr>
        <w:tc>
          <w:tcPr>
            <w:tcW w:w="1220" w:type="dxa"/>
            <w:shd w:val="clear" w:color="auto" w:fill="FFFFFF"/>
            <w:tcMar>
              <w:top w:w="0" w:type="dxa"/>
              <w:left w:w="70" w:type="dxa"/>
              <w:bottom w:w="0" w:type="dxa"/>
              <w:right w:w="70" w:type="dxa"/>
            </w:tcMar>
            <w:vAlign w:val="bottom"/>
            <w:hideMark/>
          </w:tcPr>
          <w:p w14:paraId="7446F909" w14:textId="77777777" w:rsidR="00F633FF" w:rsidRPr="00FB1C70" w:rsidRDefault="00F633FF" w:rsidP="001F615E">
            <w:pPr>
              <w:rPr>
                <w:rFonts w:eastAsia="Times New Roman" w:cstheme="minorHAnsi"/>
                <w:color w:val="333333"/>
                <w:lang w:eastAsia="nl-NL"/>
              </w:rPr>
            </w:pPr>
            <w:r w:rsidRPr="00FB1C70">
              <w:rPr>
                <w:rFonts w:eastAsia="Times New Roman" w:cstheme="minorHAnsi"/>
                <w:b/>
                <w:bCs/>
                <w:color w:val="000000"/>
                <w:lang w:eastAsia="nl-NL"/>
              </w:rPr>
              <w:t>NL</w:t>
            </w:r>
          </w:p>
        </w:tc>
        <w:tc>
          <w:tcPr>
            <w:tcW w:w="9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61CCCEEB"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000000"/>
                <w:lang w:eastAsia="nl-NL"/>
              </w:rPr>
              <w:t>3768</w:t>
            </w:r>
          </w:p>
        </w:tc>
        <w:tc>
          <w:tcPr>
            <w:tcW w:w="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092B08EE"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000000"/>
                <w:lang w:eastAsia="nl-NL"/>
              </w:rPr>
              <w:t>4063</w:t>
            </w:r>
          </w:p>
        </w:tc>
        <w:tc>
          <w:tcPr>
            <w:tcW w:w="10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53025A17"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000000"/>
                <w:lang w:eastAsia="nl-NL"/>
              </w:rPr>
              <w:t>295</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14:paraId="1C471713"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333333"/>
                <w:lang w:eastAsia="nl-NL"/>
              </w:rPr>
              <w:t>+7,8</w:t>
            </w:r>
          </w:p>
        </w:tc>
        <w:tc>
          <w:tcPr>
            <w:tcW w:w="1120" w:type="dxa"/>
            <w:tcBorders>
              <w:top w:val="nil"/>
              <w:left w:val="nil"/>
              <w:bottom w:val="single" w:sz="8" w:space="0" w:color="auto"/>
              <w:right w:val="nil"/>
            </w:tcBorders>
            <w:shd w:val="clear" w:color="auto" w:fill="FFFFFF"/>
            <w:vAlign w:val="bottom"/>
          </w:tcPr>
          <w:p w14:paraId="6E4CEAE6" w14:textId="77777777" w:rsidR="00F633FF" w:rsidRPr="00FB1C70" w:rsidRDefault="00F633FF" w:rsidP="001F615E">
            <w:pPr>
              <w:jc w:val="right"/>
              <w:rPr>
                <w:rFonts w:eastAsia="Times New Roman" w:cstheme="minorHAnsi"/>
                <w:color w:val="000000"/>
                <w:lang w:eastAsia="nl-NL"/>
              </w:rPr>
            </w:pPr>
            <w:r w:rsidRPr="00FB1C70">
              <w:rPr>
                <w:rFonts w:eastAsia="Times New Roman" w:cstheme="minorHAnsi"/>
                <w:color w:val="000000"/>
                <w:lang w:eastAsia="nl-NL"/>
              </w:rPr>
              <w:t>25,13%</w:t>
            </w:r>
          </w:p>
        </w:tc>
        <w:tc>
          <w:tcPr>
            <w:tcW w:w="1120" w:type="dxa"/>
            <w:tcBorders>
              <w:top w:val="nil"/>
              <w:left w:val="nil"/>
              <w:bottom w:val="single" w:sz="8" w:space="0" w:color="auto"/>
              <w:right w:val="single" w:sz="8" w:space="0" w:color="auto"/>
            </w:tcBorders>
            <w:shd w:val="clear" w:color="auto" w:fill="FFFFFF"/>
          </w:tcPr>
          <w:p w14:paraId="17DC5FD6" w14:textId="77777777" w:rsidR="00F633FF" w:rsidRPr="00FB1C70" w:rsidRDefault="00F633FF" w:rsidP="001F615E">
            <w:pPr>
              <w:jc w:val="right"/>
              <w:rPr>
                <w:rFonts w:eastAsia="Times New Roman" w:cstheme="minorHAnsi"/>
                <w:color w:val="000000"/>
                <w:lang w:eastAsia="nl-NL"/>
              </w:rPr>
            </w:pPr>
          </w:p>
        </w:tc>
      </w:tr>
      <w:tr w:rsidR="00F633FF" w:rsidRPr="00FB1C70" w14:paraId="6C389BFB" w14:textId="77777777" w:rsidTr="001F615E">
        <w:trPr>
          <w:trHeight w:val="300"/>
        </w:trPr>
        <w:tc>
          <w:tcPr>
            <w:tcW w:w="1220" w:type="dxa"/>
            <w:shd w:val="clear" w:color="auto" w:fill="FFFFFF"/>
            <w:tcMar>
              <w:top w:w="0" w:type="dxa"/>
              <w:left w:w="70" w:type="dxa"/>
              <w:bottom w:w="0" w:type="dxa"/>
              <w:right w:w="70" w:type="dxa"/>
            </w:tcMar>
            <w:vAlign w:val="bottom"/>
            <w:hideMark/>
          </w:tcPr>
          <w:p w14:paraId="6E6A21E5" w14:textId="77777777" w:rsidR="00F633FF" w:rsidRPr="00FB1C70" w:rsidRDefault="00F633FF" w:rsidP="001F615E">
            <w:pPr>
              <w:rPr>
                <w:rFonts w:eastAsia="Times New Roman" w:cstheme="minorHAnsi"/>
                <w:color w:val="333333"/>
                <w:lang w:eastAsia="nl-NL"/>
              </w:rPr>
            </w:pPr>
            <w:r w:rsidRPr="00FB1C70">
              <w:rPr>
                <w:rFonts w:eastAsia="Times New Roman" w:cstheme="minorHAnsi"/>
                <w:b/>
                <w:bCs/>
                <w:color w:val="000000"/>
                <w:lang w:eastAsia="nl-NL"/>
              </w:rPr>
              <w:t>FR</w:t>
            </w:r>
          </w:p>
        </w:tc>
        <w:tc>
          <w:tcPr>
            <w:tcW w:w="9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78A3301F"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000000"/>
                <w:lang w:eastAsia="nl-NL"/>
              </w:rPr>
              <w:t>1768</w:t>
            </w:r>
          </w:p>
        </w:tc>
        <w:tc>
          <w:tcPr>
            <w:tcW w:w="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2779FEB0"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000000"/>
                <w:lang w:eastAsia="nl-NL"/>
              </w:rPr>
              <w:t>1863</w:t>
            </w:r>
          </w:p>
        </w:tc>
        <w:tc>
          <w:tcPr>
            <w:tcW w:w="10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0E2C6F4C"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000000"/>
                <w:lang w:eastAsia="nl-NL"/>
              </w:rPr>
              <w:t>95</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14:paraId="59B6636A"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333333"/>
                <w:lang w:eastAsia="nl-NL"/>
              </w:rPr>
              <w:t>+5,4</w:t>
            </w:r>
          </w:p>
        </w:tc>
        <w:tc>
          <w:tcPr>
            <w:tcW w:w="1120" w:type="dxa"/>
            <w:tcBorders>
              <w:top w:val="nil"/>
              <w:left w:val="nil"/>
              <w:bottom w:val="single" w:sz="8" w:space="0" w:color="auto"/>
              <w:right w:val="nil"/>
            </w:tcBorders>
            <w:shd w:val="clear" w:color="auto" w:fill="FFFFFF"/>
            <w:vAlign w:val="bottom"/>
          </w:tcPr>
          <w:p w14:paraId="4510CB2D" w14:textId="77777777" w:rsidR="00F633FF" w:rsidRPr="00FB1C70" w:rsidRDefault="00F633FF" w:rsidP="001F615E">
            <w:pPr>
              <w:jc w:val="right"/>
              <w:rPr>
                <w:rFonts w:eastAsia="Times New Roman" w:cstheme="minorHAnsi"/>
                <w:color w:val="000000"/>
                <w:lang w:eastAsia="nl-NL"/>
              </w:rPr>
            </w:pPr>
            <w:r w:rsidRPr="00FB1C70">
              <w:rPr>
                <w:rFonts w:eastAsia="Times New Roman" w:cstheme="minorHAnsi"/>
                <w:color w:val="000000"/>
                <w:lang w:eastAsia="nl-NL"/>
              </w:rPr>
              <w:t>11,52%</w:t>
            </w:r>
          </w:p>
        </w:tc>
        <w:tc>
          <w:tcPr>
            <w:tcW w:w="1120" w:type="dxa"/>
            <w:tcBorders>
              <w:top w:val="nil"/>
              <w:left w:val="nil"/>
              <w:bottom w:val="single" w:sz="8" w:space="0" w:color="auto"/>
              <w:right w:val="single" w:sz="8" w:space="0" w:color="auto"/>
            </w:tcBorders>
            <w:shd w:val="clear" w:color="auto" w:fill="FFFFFF"/>
          </w:tcPr>
          <w:p w14:paraId="304F45E1" w14:textId="77777777" w:rsidR="00F633FF" w:rsidRPr="00FB1C70" w:rsidRDefault="00F633FF" w:rsidP="001F615E">
            <w:pPr>
              <w:jc w:val="right"/>
              <w:rPr>
                <w:rFonts w:eastAsia="Times New Roman" w:cstheme="minorHAnsi"/>
                <w:color w:val="000000"/>
                <w:lang w:eastAsia="nl-NL"/>
              </w:rPr>
            </w:pPr>
          </w:p>
        </w:tc>
      </w:tr>
      <w:tr w:rsidR="00F633FF" w:rsidRPr="00FB1C70" w14:paraId="3493ADB4" w14:textId="77777777" w:rsidTr="001F615E">
        <w:trPr>
          <w:trHeight w:val="300"/>
        </w:trPr>
        <w:tc>
          <w:tcPr>
            <w:tcW w:w="1220" w:type="dxa"/>
            <w:shd w:val="clear" w:color="auto" w:fill="FFFFFF"/>
            <w:tcMar>
              <w:top w:w="0" w:type="dxa"/>
              <w:left w:w="70" w:type="dxa"/>
              <w:bottom w:w="0" w:type="dxa"/>
              <w:right w:w="70" w:type="dxa"/>
            </w:tcMar>
            <w:vAlign w:val="bottom"/>
            <w:hideMark/>
          </w:tcPr>
          <w:p w14:paraId="52C4E4D1" w14:textId="77777777" w:rsidR="00F633FF" w:rsidRPr="00FB1C70" w:rsidRDefault="00F633FF" w:rsidP="001F615E">
            <w:pPr>
              <w:rPr>
                <w:rFonts w:eastAsia="Times New Roman" w:cstheme="minorHAnsi"/>
                <w:color w:val="333333"/>
                <w:lang w:eastAsia="nl-NL"/>
              </w:rPr>
            </w:pPr>
            <w:r w:rsidRPr="00FB1C70">
              <w:rPr>
                <w:rFonts w:eastAsia="Times New Roman" w:cstheme="minorHAnsi"/>
                <w:b/>
                <w:bCs/>
                <w:color w:val="000000"/>
                <w:lang w:eastAsia="nl-NL"/>
              </w:rPr>
              <w:t>DE/AT/CH</w:t>
            </w:r>
          </w:p>
        </w:tc>
        <w:tc>
          <w:tcPr>
            <w:tcW w:w="9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668B10D9"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000000"/>
                <w:lang w:eastAsia="nl-NL"/>
              </w:rPr>
              <w:t>775</w:t>
            </w:r>
          </w:p>
        </w:tc>
        <w:tc>
          <w:tcPr>
            <w:tcW w:w="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00123665"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000000"/>
                <w:lang w:eastAsia="nl-NL"/>
              </w:rPr>
              <w:t>884</w:t>
            </w:r>
          </w:p>
        </w:tc>
        <w:tc>
          <w:tcPr>
            <w:tcW w:w="10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55BD60D6"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000000"/>
                <w:lang w:eastAsia="nl-NL"/>
              </w:rPr>
              <w:t>109</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14:paraId="5D38C8A9"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333333"/>
                <w:lang w:eastAsia="nl-NL"/>
              </w:rPr>
              <w:t>+14,1</w:t>
            </w:r>
          </w:p>
        </w:tc>
        <w:tc>
          <w:tcPr>
            <w:tcW w:w="1120" w:type="dxa"/>
            <w:tcBorders>
              <w:top w:val="nil"/>
              <w:left w:val="nil"/>
              <w:bottom w:val="single" w:sz="8" w:space="0" w:color="auto"/>
              <w:right w:val="nil"/>
            </w:tcBorders>
            <w:shd w:val="clear" w:color="auto" w:fill="FFFFFF"/>
            <w:vAlign w:val="bottom"/>
          </w:tcPr>
          <w:p w14:paraId="6676D77B" w14:textId="77777777" w:rsidR="00F633FF" w:rsidRPr="00FB1C70" w:rsidRDefault="00F633FF" w:rsidP="001F615E">
            <w:pPr>
              <w:jc w:val="right"/>
              <w:rPr>
                <w:rFonts w:eastAsia="Times New Roman" w:cstheme="minorHAnsi"/>
                <w:color w:val="000000"/>
                <w:lang w:eastAsia="nl-NL"/>
              </w:rPr>
            </w:pPr>
            <w:r w:rsidRPr="00FB1C70">
              <w:rPr>
                <w:rFonts w:eastAsia="Times New Roman" w:cstheme="minorHAnsi"/>
                <w:color w:val="000000"/>
                <w:lang w:eastAsia="nl-NL"/>
              </w:rPr>
              <w:t>5,47%</w:t>
            </w:r>
          </w:p>
        </w:tc>
        <w:tc>
          <w:tcPr>
            <w:tcW w:w="1120" w:type="dxa"/>
            <w:tcBorders>
              <w:top w:val="nil"/>
              <w:left w:val="nil"/>
              <w:bottom w:val="single" w:sz="8" w:space="0" w:color="auto"/>
              <w:right w:val="single" w:sz="8" w:space="0" w:color="auto"/>
            </w:tcBorders>
            <w:shd w:val="clear" w:color="auto" w:fill="FFFFFF"/>
          </w:tcPr>
          <w:p w14:paraId="78356C96" w14:textId="77777777" w:rsidR="00F633FF" w:rsidRPr="00FB1C70" w:rsidRDefault="00F633FF" w:rsidP="001F615E">
            <w:pPr>
              <w:jc w:val="right"/>
              <w:rPr>
                <w:rFonts w:eastAsia="Times New Roman" w:cstheme="minorHAnsi"/>
                <w:color w:val="000000"/>
                <w:lang w:eastAsia="nl-NL"/>
              </w:rPr>
            </w:pPr>
          </w:p>
        </w:tc>
      </w:tr>
      <w:tr w:rsidR="00F633FF" w:rsidRPr="00FB1C70" w14:paraId="12828F4C" w14:textId="77777777" w:rsidTr="001F615E">
        <w:trPr>
          <w:trHeight w:val="300"/>
        </w:trPr>
        <w:tc>
          <w:tcPr>
            <w:tcW w:w="1220" w:type="dxa"/>
            <w:shd w:val="clear" w:color="auto" w:fill="FFFFFF"/>
            <w:tcMar>
              <w:top w:w="0" w:type="dxa"/>
              <w:left w:w="70" w:type="dxa"/>
              <w:bottom w:w="0" w:type="dxa"/>
              <w:right w:w="70" w:type="dxa"/>
            </w:tcMar>
            <w:vAlign w:val="bottom"/>
            <w:hideMark/>
          </w:tcPr>
          <w:p w14:paraId="207BABEF" w14:textId="77777777" w:rsidR="00F633FF" w:rsidRPr="00FB1C70" w:rsidRDefault="00F633FF" w:rsidP="001F615E">
            <w:pPr>
              <w:rPr>
                <w:rFonts w:eastAsia="Times New Roman" w:cstheme="minorHAnsi"/>
                <w:color w:val="333333"/>
                <w:lang w:eastAsia="nl-NL"/>
              </w:rPr>
            </w:pPr>
            <w:r w:rsidRPr="00FB1C70">
              <w:rPr>
                <w:rFonts w:eastAsia="Times New Roman" w:cstheme="minorHAnsi"/>
                <w:b/>
                <w:bCs/>
                <w:color w:val="000000"/>
                <w:lang w:eastAsia="nl-NL"/>
              </w:rPr>
              <w:t>PL</w:t>
            </w:r>
          </w:p>
        </w:tc>
        <w:tc>
          <w:tcPr>
            <w:tcW w:w="9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437FA59F"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000000"/>
                <w:lang w:eastAsia="nl-NL"/>
              </w:rPr>
              <w:t>239</w:t>
            </w:r>
          </w:p>
        </w:tc>
        <w:tc>
          <w:tcPr>
            <w:tcW w:w="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1301AEA3"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000000"/>
                <w:lang w:eastAsia="nl-NL"/>
              </w:rPr>
              <w:t>554</w:t>
            </w:r>
          </w:p>
        </w:tc>
        <w:tc>
          <w:tcPr>
            <w:tcW w:w="10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42956FF1"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000000"/>
                <w:lang w:eastAsia="nl-NL"/>
              </w:rPr>
              <w:t>315</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14:paraId="79F44A63"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333333"/>
                <w:lang w:eastAsia="nl-NL"/>
              </w:rPr>
              <w:t>+131,8</w:t>
            </w:r>
          </w:p>
        </w:tc>
        <w:tc>
          <w:tcPr>
            <w:tcW w:w="1120" w:type="dxa"/>
            <w:tcBorders>
              <w:top w:val="nil"/>
              <w:left w:val="nil"/>
              <w:bottom w:val="single" w:sz="8" w:space="0" w:color="auto"/>
              <w:right w:val="nil"/>
            </w:tcBorders>
            <w:shd w:val="clear" w:color="auto" w:fill="FFFFFF"/>
            <w:vAlign w:val="bottom"/>
          </w:tcPr>
          <w:p w14:paraId="2BD6B000" w14:textId="77777777" w:rsidR="00F633FF" w:rsidRPr="00FB1C70" w:rsidRDefault="00F633FF" w:rsidP="001F615E">
            <w:pPr>
              <w:jc w:val="right"/>
              <w:rPr>
                <w:rFonts w:eastAsia="Times New Roman" w:cstheme="minorHAnsi"/>
                <w:color w:val="000000"/>
                <w:lang w:eastAsia="nl-NL"/>
              </w:rPr>
            </w:pPr>
            <w:r w:rsidRPr="00FB1C70">
              <w:rPr>
                <w:rFonts w:eastAsia="Times New Roman" w:cstheme="minorHAnsi"/>
                <w:color w:val="000000"/>
                <w:lang w:eastAsia="nl-NL"/>
              </w:rPr>
              <w:t>3,43%</w:t>
            </w:r>
          </w:p>
        </w:tc>
        <w:tc>
          <w:tcPr>
            <w:tcW w:w="1120" w:type="dxa"/>
            <w:tcBorders>
              <w:top w:val="nil"/>
              <w:left w:val="nil"/>
              <w:bottom w:val="single" w:sz="8" w:space="0" w:color="auto"/>
              <w:right w:val="single" w:sz="8" w:space="0" w:color="auto"/>
            </w:tcBorders>
            <w:shd w:val="clear" w:color="auto" w:fill="FFFFFF"/>
          </w:tcPr>
          <w:p w14:paraId="662AC98A" w14:textId="77777777" w:rsidR="00F633FF" w:rsidRPr="00FB1C70" w:rsidRDefault="00F633FF" w:rsidP="001F615E">
            <w:pPr>
              <w:jc w:val="right"/>
              <w:rPr>
                <w:rFonts w:eastAsia="Times New Roman" w:cstheme="minorHAnsi"/>
                <w:color w:val="000000"/>
                <w:lang w:eastAsia="nl-NL"/>
              </w:rPr>
            </w:pPr>
          </w:p>
        </w:tc>
      </w:tr>
      <w:tr w:rsidR="00F633FF" w:rsidRPr="00FB1C70" w14:paraId="5C80F929" w14:textId="77777777" w:rsidTr="001F615E">
        <w:trPr>
          <w:trHeight w:val="300"/>
        </w:trPr>
        <w:tc>
          <w:tcPr>
            <w:tcW w:w="1220" w:type="dxa"/>
            <w:shd w:val="clear" w:color="auto" w:fill="FFFFFF"/>
            <w:tcMar>
              <w:top w:w="0" w:type="dxa"/>
              <w:left w:w="70" w:type="dxa"/>
              <w:bottom w:w="0" w:type="dxa"/>
              <w:right w:w="70" w:type="dxa"/>
            </w:tcMar>
            <w:vAlign w:val="bottom"/>
            <w:hideMark/>
          </w:tcPr>
          <w:p w14:paraId="35C01A1F" w14:textId="77777777" w:rsidR="00F633FF" w:rsidRPr="00FB1C70" w:rsidRDefault="00F633FF" w:rsidP="001F615E">
            <w:pPr>
              <w:rPr>
                <w:rFonts w:eastAsia="Times New Roman" w:cstheme="minorHAnsi"/>
                <w:color w:val="333333"/>
                <w:lang w:eastAsia="nl-NL"/>
              </w:rPr>
            </w:pPr>
            <w:r w:rsidRPr="00FB1C70">
              <w:rPr>
                <w:rFonts w:eastAsia="Times New Roman" w:cstheme="minorHAnsi"/>
                <w:b/>
                <w:bCs/>
                <w:color w:val="000000"/>
                <w:lang w:eastAsia="nl-NL"/>
              </w:rPr>
              <w:t>UK/IE</w:t>
            </w:r>
          </w:p>
        </w:tc>
        <w:tc>
          <w:tcPr>
            <w:tcW w:w="9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25B6E3FD"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000000"/>
                <w:lang w:eastAsia="nl-NL"/>
              </w:rPr>
              <w:t>146</w:t>
            </w:r>
          </w:p>
        </w:tc>
        <w:tc>
          <w:tcPr>
            <w:tcW w:w="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74553ABF"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000000"/>
                <w:lang w:eastAsia="nl-NL"/>
              </w:rPr>
              <w:t>503</w:t>
            </w:r>
          </w:p>
        </w:tc>
        <w:tc>
          <w:tcPr>
            <w:tcW w:w="10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04BBA96D"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000000"/>
                <w:lang w:eastAsia="nl-NL"/>
              </w:rPr>
              <w:t>357</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14:paraId="2E5F6DC6"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333333"/>
                <w:lang w:eastAsia="nl-NL"/>
              </w:rPr>
              <w:t>+244,5</w:t>
            </w:r>
          </w:p>
        </w:tc>
        <w:tc>
          <w:tcPr>
            <w:tcW w:w="1120" w:type="dxa"/>
            <w:tcBorders>
              <w:top w:val="nil"/>
              <w:left w:val="nil"/>
              <w:bottom w:val="single" w:sz="8" w:space="0" w:color="auto"/>
              <w:right w:val="nil"/>
            </w:tcBorders>
            <w:shd w:val="clear" w:color="auto" w:fill="FFFFFF"/>
            <w:vAlign w:val="bottom"/>
          </w:tcPr>
          <w:p w14:paraId="1E032118" w14:textId="77777777" w:rsidR="00F633FF" w:rsidRPr="00FB1C70" w:rsidRDefault="00F633FF" w:rsidP="001F615E">
            <w:pPr>
              <w:jc w:val="right"/>
              <w:rPr>
                <w:rFonts w:eastAsia="Times New Roman" w:cstheme="minorHAnsi"/>
                <w:color w:val="000000"/>
                <w:lang w:eastAsia="nl-NL"/>
              </w:rPr>
            </w:pPr>
            <w:r w:rsidRPr="00FB1C70">
              <w:rPr>
                <w:rFonts w:eastAsia="Times New Roman" w:cstheme="minorHAnsi"/>
                <w:color w:val="000000"/>
                <w:lang w:eastAsia="nl-NL"/>
              </w:rPr>
              <w:t>3,11%</w:t>
            </w:r>
          </w:p>
        </w:tc>
        <w:tc>
          <w:tcPr>
            <w:tcW w:w="1120" w:type="dxa"/>
            <w:tcBorders>
              <w:top w:val="nil"/>
              <w:left w:val="nil"/>
              <w:bottom w:val="single" w:sz="8" w:space="0" w:color="auto"/>
              <w:right w:val="single" w:sz="8" w:space="0" w:color="auto"/>
            </w:tcBorders>
            <w:shd w:val="clear" w:color="auto" w:fill="FFFFFF"/>
          </w:tcPr>
          <w:p w14:paraId="7919593A" w14:textId="77777777" w:rsidR="00F633FF" w:rsidRPr="00FB1C70" w:rsidRDefault="00F633FF" w:rsidP="001F615E">
            <w:pPr>
              <w:jc w:val="right"/>
              <w:rPr>
                <w:rFonts w:eastAsia="Times New Roman" w:cstheme="minorHAnsi"/>
                <w:color w:val="000000"/>
                <w:lang w:eastAsia="nl-NL"/>
              </w:rPr>
            </w:pPr>
          </w:p>
        </w:tc>
      </w:tr>
      <w:tr w:rsidR="00F633FF" w:rsidRPr="00FB1C70" w14:paraId="7CC2281F" w14:textId="77777777" w:rsidTr="001F615E">
        <w:trPr>
          <w:trHeight w:val="300"/>
        </w:trPr>
        <w:tc>
          <w:tcPr>
            <w:tcW w:w="1220" w:type="dxa"/>
            <w:shd w:val="clear" w:color="auto" w:fill="FFFFFF"/>
            <w:tcMar>
              <w:top w:w="0" w:type="dxa"/>
              <w:left w:w="70" w:type="dxa"/>
              <w:bottom w:w="0" w:type="dxa"/>
              <w:right w:w="70" w:type="dxa"/>
            </w:tcMar>
            <w:vAlign w:val="bottom"/>
            <w:hideMark/>
          </w:tcPr>
          <w:p w14:paraId="5AE373BB" w14:textId="77777777" w:rsidR="00F633FF" w:rsidRPr="00FB1C70" w:rsidRDefault="00F633FF" w:rsidP="00F633FF">
            <w:pPr>
              <w:rPr>
                <w:rFonts w:eastAsia="Times New Roman" w:cstheme="minorHAnsi"/>
                <w:color w:val="333333"/>
                <w:lang w:eastAsia="nl-NL"/>
              </w:rPr>
            </w:pPr>
            <w:r w:rsidRPr="00FB1C70">
              <w:rPr>
                <w:rFonts w:eastAsia="Times New Roman" w:cstheme="minorHAnsi"/>
                <w:b/>
                <w:bCs/>
                <w:color w:val="000000"/>
                <w:lang w:eastAsia="nl-NL"/>
              </w:rPr>
              <w:t>Divers</w:t>
            </w:r>
          </w:p>
        </w:tc>
        <w:tc>
          <w:tcPr>
            <w:tcW w:w="9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62DBC4F8"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000000"/>
                <w:lang w:eastAsia="nl-NL"/>
              </w:rPr>
              <w:t>3152</w:t>
            </w:r>
          </w:p>
        </w:tc>
        <w:tc>
          <w:tcPr>
            <w:tcW w:w="9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2420377C"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000000"/>
                <w:lang w:eastAsia="nl-NL"/>
              </w:rPr>
              <w:t>3120</w:t>
            </w:r>
          </w:p>
        </w:tc>
        <w:tc>
          <w:tcPr>
            <w:tcW w:w="10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02FD5E47"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000000"/>
                <w:lang w:eastAsia="nl-NL"/>
              </w:rPr>
              <w:t>-32</w:t>
            </w:r>
          </w:p>
        </w:tc>
        <w:tc>
          <w:tcPr>
            <w:tcW w:w="11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14:paraId="4D166F2F"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color w:val="333333"/>
                <w:lang w:eastAsia="nl-NL"/>
              </w:rPr>
              <w:t>-0,01</w:t>
            </w:r>
          </w:p>
        </w:tc>
        <w:tc>
          <w:tcPr>
            <w:tcW w:w="1120" w:type="dxa"/>
            <w:tcBorders>
              <w:top w:val="nil"/>
              <w:left w:val="nil"/>
              <w:bottom w:val="single" w:sz="8" w:space="0" w:color="auto"/>
              <w:right w:val="nil"/>
            </w:tcBorders>
            <w:shd w:val="clear" w:color="auto" w:fill="FFFFFF"/>
            <w:vAlign w:val="bottom"/>
          </w:tcPr>
          <w:p w14:paraId="70B42A0D" w14:textId="77777777" w:rsidR="00F633FF" w:rsidRPr="00FB1C70" w:rsidRDefault="00F633FF" w:rsidP="001F615E">
            <w:pPr>
              <w:jc w:val="right"/>
              <w:rPr>
                <w:rFonts w:eastAsia="Times New Roman" w:cstheme="minorHAnsi"/>
                <w:color w:val="000000"/>
                <w:lang w:eastAsia="nl-NL"/>
              </w:rPr>
            </w:pPr>
            <w:r w:rsidRPr="00FB1C70">
              <w:rPr>
                <w:rFonts w:eastAsia="Times New Roman" w:cstheme="minorHAnsi"/>
                <w:color w:val="000000"/>
                <w:lang w:eastAsia="nl-NL"/>
              </w:rPr>
              <w:t>19,29%</w:t>
            </w:r>
          </w:p>
        </w:tc>
        <w:tc>
          <w:tcPr>
            <w:tcW w:w="1120" w:type="dxa"/>
            <w:tcBorders>
              <w:top w:val="nil"/>
              <w:left w:val="nil"/>
              <w:bottom w:val="single" w:sz="8" w:space="0" w:color="auto"/>
              <w:right w:val="single" w:sz="8" w:space="0" w:color="auto"/>
            </w:tcBorders>
            <w:shd w:val="clear" w:color="auto" w:fill="FFFFFF"/>
          </w:tcPr>
          <w:p w14:paraId="4ABE2C9C" w14:textId="77777777" w:rsidR="00F633FF" w:rsidRPr="00FB1C70" w:rsidRDefault="00F633FF" w:rsidP="001F615E">
            <w:pPr>
              <w:jc w:val="right"/>
              <w:rPr>
                <w:rFonts w:eastAsia="Times New Roman" w:cstheme="minorHAnsi"/>
                <w:color w:val="000000"/>
                <w:lang w:eastAsia="nl-NL"/>
              </w:rPr>
            </w:pPr>
          </w:p>
        </w:tc>
      </w:tr>
      <w:tr w:rsidR="00F633FF" w:rsidRPr="00FB1C70" w14:paraId="4335BBF0" w14:textId="77777777" w:rsidTr="001F615E">
        <w:trPr>
          <w:trHeight w:val="300"/>
        </w:trPr>
        <w:tc>
          <w:tcPr>
            <w:tcW w:w="1220" w:type="dxa"/>
            <w:shd w:val="clear" w:color="auto" w:fill="FFFFFF"/>
            <w:tcMar>
              <w:top w:w="0" w:type="dxa"/>
              <w:left w:w="70" w:type="dxa"/>
              <w:bottom w:w="0" w:type="dxa"/>
              <w:right w:w="70" w:type="dxa"/>
            </w:tcMar>
            <w:vAlign w:val="bottom"/>
            <w:hideMark/>
          </w:tcPr>
          <w:p w14:paraId="3F8A2A18" w14:textId="77777777" w:rsidR="00F633FF" w:rsidRPr="00FB1C70" w:rsidRDefault="00F633FF" w:rsidP="001F615E">
            <w:pPr>
              <w:rPr>
                <w:rFonts w:eastAsia="Times New Roman" w:cstheme="minorHAnsi"/>
                <w:color w:val="333333"/>
                <w:lang w:eastAsia="nl-NL"/>
              </w:rPr>
            </w:pPr>
          </w:p>
        </w:tc>
        <w:tc>
          <w:tcPr>
            <w:tcW w:w="960" w:type="dxa"/>
            <w:shd w:val="clear" w:color="auto" w:fill="FFFFFF"/>
            <w:tcMar>
              <w:top w:w="0" w:type="dxa"/>
              <w:left w:w="70" w:type="dxa"/>
              <w:bottom w:w="0" w:type="dxa"/>
              <w:right w:w="70" w:type="dxa"/>
            </w:tcMar>
            <w:vAlign w:val="bottom"/>
            <w:hideMark/>
          </w:tcPr>
          <w:p w14:paraId="327DA5DF"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b/>
                <w:bCs/>
                <w:color w:val="000000"/>
                <w:lang w:eastAsia="nl-NL"/>
              </w:rPr>
              <w:t>16171</w:t>
            </w:r>
          </w:p>
        </w:tc>
        <w:tc>
          <w:tcPr>
            <w:tcW w:w="960" w:type="dxa"/>
            <w:shd w:val="clear" w:color="auto" w:fill="FFFFFF"/>
            <w:tcMar>
              <w:top w:w="0" w:type="dxa"/>
              <w:left w:w="70" w:type="dxa"/>
              <w:bottom w:w="0" w:type="dxa"/>
              <w:right w:w="70" w:type="dxa"/>
            </w:tcMar>
            <w:vAlign w:val="bottom"/>
            <w:hideMark/>
          </w:tcPr>
          <w:p w14:paraId="19513CF9"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b/>
                <w:bCs/>
                <w:color w:val="000000"/>
                <w:lang w:eastAsia="nl-NL"/>
              </w:rPr>
              <w:t>17461</w:t>
            </w:r>
          </w:p>
        </w:tc>
        <w:tc>
          <w:tcPr>
            <w:tcW w:w="1060" w:type="dxa"/>
            <w:shd w:val="clear" w:color="auto" w:fill="FFFFFF"/>
            <w:tcMar>
              <w:top w:w="0" w:type="dxa"/>
              <w:left w:w="70" w:type="dxa"/>
              <w:bottom w:w="0" w:type="dxa"/>
              <w:right w:w="70" w:type="dxa"/>
            </w:tcMar>
            <w:vAlign w:val="bottom"/>
            <w:hideMark/>
          </w:tcPr>
          <w:p w14:paraId="5C9CD194" w14:textId="77777777" w:rsidR="00F633FF" w:rsidRPr="00FB1C70" w:rsidRDefault="00F633FF" w:rsidP="001F615E">
            <w:pPr>
              <w:jc w:val="right"/>
              <w:rPr>
                <w:rFonts w:eastAsia="Times New Roman" w:cstheme="minorHAnsi"/>
                <w:color w:val="333333"/>
                <w:lang w:eastAsia="nl-NL"/>
              </w:rPr>
            </w:pPr>
            <w:r w:rsidRPr="00FB1C70">
              <w:rPr>
                <w:rFonts w:eastAsia="Times New Roman" w:cstheme="minorHAnsi"/>
                <w:b/>
                <w:bCs/>
                <w:color w:val="000000"/>
                <w:lang w:eastAsia="nl-NL"/>
              </w:rPr>
              <w:t>1290</w:t>
            </w:r>
          </w:p>
        </w:tc>
        <w:tc>
          <w:tcPr>
            <w:tcW w:w="1120" w:type="dxa"/>
            <w:shd w:val="clear" w:color="auto" w:fill="FFFFFF"/>
            <w:tcMar>
              <w:top w:w="0" w:type="dxa"/>
              <w:left w:w="70" w:type="dxa"/>
              <w:bottom w:w="0" w:type="dxa"/>
              <w:right w:w="70" w:type="dxa"/>
            </w:tcMar>
            <w:vAlign w:val="bottom"/>
            <w:hideMark/>
          </w:tcPr>
          <w:p w14:paraId="072112A8" w14:textId="77777777" w:rsidR="00F633FF" w:rsidRPr="00FB1C70" w:rsidRDefault="00F633FF" w:rsidP="001F615E">
            <w:pPr>
              <w:jc w:val="right"/>
              <w:rPr>
                <w:rFonts w:eastAsia="Times New Roman" w:cstheme="minorHAnsi"/>
                <w:b/>
                <w:bCs/>
                <w:color w:val="333333"/>
                <w:lang w:eastAsia="nl-NL"/>
              </w:rPr>
            </w:pPr>
            <w:r w:rsidRPr="00FB1C70">
              <w:rPr>
                <w:rFonts w:eastAsia="Times New Roman" w:cstheme="minorHAnsi"/>
                <w:b/>
                <w:bCs/>
                <w:color w:val="333333"/>
                <w:lang w:eastAsia="nl-NL"/>
              </w:rPr>
              <w:t>+8,0</w:t>
            </w:r>
          </w:p>
        </w:tc>
        <w:tc>
          <w:tcPr>
            <w:tcW w:w="1120" w:type="dxa"/>
            <w:shd w:val="clear" w:color="auto" w:fill="FFFFFF"/>
            <w:vAlign w:val="bottom"/>
          </w:tcPr>
          <w:p w14:paraId="1AD55C20" w14:textId="77777777" w:rsidR="00F633FF" w:rsidRPr="00FB1C70" w:rsidRDefault="00F633FF" w:rsidP="001F615E">
            <w:pPr>
              <w:jc w:val="right"/>
              <w:rPr>
                <w:rFonts w:eastAsia="Times New Roman" w:cstheme="minorHAnsi"/>
                <w:b/>
                <w:bCs/>
                <w:color w:val="000000"/>
                <w:lang w:eastAsia="nl-NL"/>
              </w:rPr>
            </w:pPr>
            <w:r w:rsidRPr="00FB1C70">
              <w:rPr>
                <w:rFonts w:eastAsia="Times New Roman" w:cstheme="minorHAnsi"/>
                <w:b/>
                <w:bCs/>
                <w:color w:val="000000"/>
                <w:lang w:eastAsia="nl-NL"/>
              </w:rPr>
              <w:t>100</w:t>
            </w:r>
          </w:p>
        </w:tc>
        <w:tc>
          <w:tcPr>
            <w:tcW w:w="1120" w:type="dxa"/>
            <w:shd w:val="clear" w:color="auto" w:fill="FFFFFF"/>
          </w:tcPr>
          <w:p w14:paraId="063BE7BC" w14:textId="77777777" w:rsidR="00F633FF" w:rsidRPr="00FB1C70" w:rsidRDefault="00F633FF" w:rsidP="001F615E">
            <w:pPr>
              <w:jc w:val="right"/>
              <w:rPr>
                <w:rFonts w:eastAsia="Times New Roman" w:cstheme="minorHAnsi"/>
                <w:b/>
                <w:bCs/>
                <w:color w:val="000000"/>
                <w:lang w:eastAsia="nl-NL"/>
              </w:rPr>
            </w:pPr>
          </w:p>
        </w:tc>
      </w:tr>
    </w:tbl>
    <w:p w14:paraId="7F77B934" w14:textId="77777777" w:rsidR="00F633FF" w:rsidRPr="00FB1C70" w:rsidRDefault="00F633FF" w:rsidP="00F633FF">
      <w:pPr>
        <w:rPr>
          <w:rFonts w:cstheme="minorHAnsi"/>
        </w:rPr>
      </w:pPr>
    </w:p>
    <w:p w14:paraId="2F0909FC" w14:textId="77777777" w:rsidR="00F633FF" w:rsidRPr="00FB1C70" w:rsidRDefault="00F633FF">
      <w:pPr>
        <w:rPr>
          <w:rFonts w:cstheme="minorHAnsi"/>
        </w:rPr>
      </w:pPr>
    </w:p>
    <w:p w14:paraId="08D0D966" w14:textId="77777777" w:rsidR="00FB1C70" w:rsidRPr="00FB1C70" w:rsidRDefault="00FB1C70">
      <w:pPr>
        <w:rPr>
          <w:rFonts w:cstheme="minorHAnsi"/>
        </w:rPr>
      </w:pPr>
    </w:p>
    <w:sectPr w:rsidR="00FB1C70" w:rsidRPr="00FB1C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3DD4" w14:textId="77777777" w:rsidR="00936B80" w:rsidRDefault="00936B80" w:rsidP="005216E1">
      <w:r>
        <w:separator/>
      </w:r>
    </w:p>
  </w:endnote>
  <w:endnote w:type="continuationSeparator" w:id="0">
    <w:p w14:paraId="314737DC" w14:textId="77777777" w:rsidR="00936B80" w:rsidRDefault="00936B80" w:rsidP="0052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26733" w14:textId="77777777" w:rsidR="00936B80" w:rsidRDefault="00936B80" w:rsidP="005216E1">
      <w:r>
        <w:separator/>
      </w:r>
    </w:p>
  </w:footnote>
  <w:footnote w:type="continuationSeparator" w:id="0">
    <w:p w14:paraId="7F58E1E1" w14:textId="77777777" w:rsidR="00936B80" w:rsidRDefault="00936B80" w:rsidP="00521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47"/>
    <w:rsid w:val="0004733C"/>
    <w:rsid w:val="000551EC"/>
    <w:rsid w:val="0039751F"/>
    <w:rsid w:val="004129EA"/>
    <w:rsid w:val="005216E1"/>
    <w:rsid w:val="005519EF"/>
    <w:rsid w:val="005A3D23"/>
    <w:rsid w:val="0063227D"/>
    <w:rsid w:val="00793ADF"/>
    <w:rsid w:val="008815FD"/>
    <w:rsid w:val="008C29EA"/>
    <w:rsid w:val="00906436"/>
    <w:rsid w:val="00936B80"/>
    <w:rsid w:val="009D33D0"/>
    <w:rsid w:val="00AC439B"/>
    <w:rsid w:val="00CD3D96"/>
    <w:rsid w:val="00D13954"/>
    <w:rsid w:val="00DC3E47"/>
    <w:rsid w:val="00F633FF"/>
    <w:rsid w:val="00FA7594"/>
    <w:rsid w:val="00FB1C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55C5"/>
  <w15:docId w15:val="{0E569205-367D-4E57-97BD-4CBACAD1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33FF"/>
    <w:rPr>
      <w:color w:val="0000FF" w:themeColor="hyperlink"/>
      <w:u w:val="single"/>
    </w:rPr>
  </w:style>
  <w:style w:type="paragraph" w:styleId="BalloonText">
    <w:name w:val="Balloon Text"/>
    <w:basedOn w:val="Normal"/>
    <w:link w:val="BalloonTextChar"/>
    <w:uiPriority w:val="99"/>
    <w:semiHidden/>
    <w:unhideWhenUsed/>
    <w:rsid w:val="008815FD"/>
    <w:rPr>
      <w:rFonts w:ascii="Tahoma" w:hAnsi="Tahoma" w:cs="Tahoma"/>
      <w:sz w:val="16"/>
      <w:szCs w:val="16"/>
    </w:rPr>
  </w:style>
  <w:style w:type="character" w:customStyle="1" w:styleId="BalloonTextChar">
    <w:name w:val="Balloon Text Char"/>
    <w:basedOn w:val="DefaultParagraphFont"/>
    <w:link w:val="BalloonText"/>
    <w:uiPriority w:val="99"/>
    <w:semiHidden/>
    <w:rsid w:val="008815FD"/>
    <w:rPr>
      <w:rFonts w:ascii="Tahoma" w:hAnsi="Tahoma" w:cs="Tahoma"/>
      <w:sz w:val="16"/>
      <w:szCs w:val="16"/>
    </w:rPr>
  </w:style>
  <w:style w:type="paragraph" w:styleId="Header">
    <w:name w:val="header"/>
    <w:basedOn w:val="Normal"/>
    <w:link w:val="HeaderChar"/>
    <w:uiPriority w:val="99"/>
    <w:unhideWhenUsed/>
    <w:rsid w:val="005216E1"/>
    <w:pPr>
      <w:tabs>
        <w:tab w:val="center" w:pos="4536"/>
        <w:tab w:val="right" w:pos="9072"/>
      </w:tabs>
    </w:pPr>
  </w:style>
  <w:style w:type="character" w:customStyle="1" w:styleId="HeaderChar">
    <w:name w:val="Header Char"/>
    <w:basedOn w:val="DefaultParagraphFont"/>
    <w:link w:val="Header"/>
    <w:uiPriority w:val="99"/>
    <w:rsid w:val="005216E1"/>
  </w:style>
  <w:style w:type="paragraph" w:styleId="Footer">
    <w:name w:val="footer"/>
    <w:basedOn w:val="Normal"/>
    <w:link w:val="FooterChar"/>
    <w:uiPriority w:val="99"/>
    <w:unhideWhenUsed/>
    <w:rsid w:val="005216E1"/>
    <w:pPr>
      <w:tabs>
        <w:tab w:val="center" w:pos="4536"/>
        <w:tab w:val="right" w:pos="9072"/>
      </w:tabs>
    </w:pPr>
  </w:style>
  <w:style w:type="character" w:customStyle="1" w:styleId="FooterChar">
    <w:name w:val="Footer Char"/>
    <w:basedOn w:val="DefaultParagraphFont"/>
    <w:link w:val="Footer"/>
    <w:uiPriority w:val="99"/>
    <w:rsid w:val="005216E1"/>
  </w:style>
  <w:style w:type="character" w:styleId="FollowedHyperlink">
    <w:name w:val="FollowedHyperlink"/>
    <w:basedOn w:val="DefaultParagraphFont"/>
    <w:uiPriority w:val="99"/>
    <w:semiHidden/>
    <w:unhideWhenUsed/>
    <w:rsid w:val="00AC43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instagram.com/meubelbeursbrusse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Meubelbeurs/" TargetMode="External"/><Relationship Id="rId5" Type="http://schemas.openxmlformats.org/officeDocument/2006/relationships/settings" Target="settings.xml"/><Relationship Id="rId10" Type="http://schemas.openxmlformats.org/officeDocument/2006/relationships/hyperlink" Target="http://www.meubelbeurs.b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F47755B6B64947A261D679C2F80830" ma:contentTypeVersion="2" ma:contentTypeDescription="Een nieuw document maken." ma:contentTypeScope="" ma:versionID="6ccb94322c24b3252096d4f9bc2b24fb">
  <xsd:schema xmlns:xsd="http://www.w3.org/2001/XMLSchema" xmlns:xs="http://www.w3.org/2001/XMLSchema" xmlns:p="http://schemas.microsoft.com/office/2006/metadata/properties" xmlns:ns3="cbbb4e39-f682-4eba-bf04-20cb7c57d23e" targetNamespace="http://schemas.microsoft.com/office/2006/metadata/properties" ma:root="true" ma:fieldsID="7e01917aadfa64801b59435c161e7e4c" ns3:_="">
    <xsd:import namespace="cbbb4e39-f682-4eba-bf04-20cb7c57d23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b4e39-f682-4eba-bf04-20cb7c57d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7C1A4-A333-441E-B104-89CCCA812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b4e39-f682-4eba-bf04-20cb7c57d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F1BD6-C6F5-4D96-A015-684DDAC9B90C}">
  <ds:schemaRefs>
    <ds:schemaRef ds:uri="http://schemas.microsoft.com/sharepoint/v3/contenttype/forms"/>
  </ds:schemaRefs>
</ds:datastoreItem>
</file>

<file path=customXml/itemProps3.xml><?xml version="1.0" encoding="utf-8"?>
<ds:datastoreItem xmlns:ds="http://schemas.openxmlformats.org/officeDocument/2006/customXml" ds:itemID="{F6DB02E6-8098-4C65-8478-7D6E1F80A711}">
  <ds:schemaRefs>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cbbb4e39-f682-4eba-bf04-20cb7c57d23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Aline</dc:creator>
  <cp:lastModifiedBy>Thomas Hibert</cp:lastModifiedBy>
  <cp:revision>3</cp:revision>
  <dcterms:created xsi:type="dcterms:W3CDTF">2022-11-17T15:00:00Z</dcterms:created>
  <dcterms:modified xsi:type="dcterms:W3CDTF">2022-11-17T15:01:00Z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0x0101003CF47755B6B64947A261D679C2F80830</vt:lpwstr>
  </property>
</Properties>
</file>